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40" w:lineRule="exact"/>
        <w:ind w:right="-19" w:rightChars="-6"/>
        <w:jc w:val="left"/>
        <w:rPr>
          <w:rFonts w:ascii="黑体" w:hAnsi="黑体" w:eastAsia="黑体"/>
          <w:color w:val="000000"/>
        </w:rPr>
      </w:pPr>
      <w:r>
        <w:rPr>
          <w:rFonts w:hint="eastAsia" w:ascii="黑体" w:hAnsi="宋体" w:eastAsia="黑体"/>
          <w:b/>
          <w:color w:val="000000"/>
          <w:sz w:val="48"/>
        </w:rPr>
        <w:t xml:space="preserve"> </w:t>
      </w:r>
      <w:r>
        <w:rPr>
          <w:rFonts w:hint="eastAsia" w:ascii="黑体" w:hAnsi="黑体" w:eastAsia="黑体"/>
          <w:color w:val="000000"/>
        </w:rPr>
        <w:t>附件1</w:t>
      </w:r>
    </w:p>
    <w:p>
      <w:pPr>
        <w:snapToGrid w:val="0"/>
        <w:spacing w:line="840" w:lineRule="exact"/>
        <w:ind w:right="-19" w:rightChars="-6"/>
        <w:jc w:val="center"/>
        <w:rPr>
          <w:rFonts w:ascii="黑体" w:hAnsi="宋体" w:eastAsia="黑体"/>
          <w:b/>
          <w:color w:val="000000"/>
          <w:sz w:val="48"/>
        </w:rPr>
      </w:pPr>
      <w:r>
        <w:rPr>
          <w:rFonts w:hint="eastAsia" w:ascii="黑体" w:hAnsi="黑体" w:eastAsia="黑体"/>
          <w:b/>
          <w:color w:val="000000"/>
          <w:sz w:val="48"/>
        </w:rPr>
        <w:t>闽南师范大学全日制专业学位</w:t>
      </w:r>
    </w:p>
    <w:p>
      <w:pPr>
        <w:snapToGrid w:val="0"/>
        <w:spacing w:line="840" w:lineRule="exact"/>
        <w:ind w:right="-19" w:rightChars="-6"/>
        <w:jc w:val="center"/>
        <w:rPr>
          <w:rFonts w:ascii="黑体" w:hAnsi="宋体" w:eastAsia="黑体"/>
          <w:b/>
          <w:color w:val="000000"/>
          <w:sz w:val="48"/>
        </w:rPr>
      </w:pPr>
      <w:r>
        <w:rPr>
          <w:rFonts w:hint="eastAsia" w:ascii="黑体" w:hAnsi="黑体" w:eastAsia="黑体"/>
          <w:b/>
          <w:color w:val="000000"/>
          <w:sz w:val="48"/>
        </w:rPr>
        <w:t>硕士研究生培养方案</w:t>
      </w:r>
    </w:p>
    <w:p>
      <w:pPr>
        <w:spacing w:line="560" w:lineRule="exact"/>
        <w:ind w:right="-19" w:rightChars="-6"/>
        <w:jc w:val="center"/>
        <w:rPr>
          <w:rFonts w:ascii="黑体" w:hAnsi="宋体" w:eastAsia="黑体"/>
          <w:color w:val="000000"/>
          <w:sz w:val="52"/>
        </w:rPr>
      </w:pPr>
      <w:r>
        <w:rPr>
          <w:rFonts w:hint="eastAsia" w:ascii="黑体" w:hAnsi="宋体" w:eastAsia="黑体"/>
          <w:color w:val="000000"/>
          <w:sz w:val="52"/>
        </w:rPr>
        <w:t xml:space="preserve"> </w:t>
      </w:r>
    </w:p>
    <w:p>
      <w:pPr>
        <w:spacing w:line="560" w:lineRule="exact"/>
        <w:ind w:right="-19" w:rightChars="-6"/>
        <w:jc w:val="center"/>
        <w:rPr>
          <w:rFonts w:ascii="黑体" w:hAnsi="宋体" w:eastAsia="黑体"/>
          <w:color w:val="000000"/>
          <w:sz w:val="44"/>
        </w:rPr>
      </w:pPr>
      <w:r>
        <w:rPr>
          <w:rFonts w:hint="eastAsia" w:ascii="黑体" w:hAnsi="宋体" w:eastAsia="黑体"/>
          <w:color w:val="000000"/>
          <w:sz w:val="44"/>
        </w:rPr>
        <w:t xml:space="preserve"> </w:t>
      </w:r>
    </w:p>
    <w:p>
      <w:pPr>
        <w:spacing w:line="560" w:lineRule="exact"/>
        <w:ind w:right="-19" w:rightChars="-6"/>
        <w:jc w:val="center"/>
        <w:rPr>
          <w:rFonts w:ascii="黑体" w:hAnsi="宋体" w:eastAsia="黑体"/>
          <w:color w:val="000000"/>
          <w:sz w:val="44"/>
        </w:rPr>
      </w:pPr>
      <w:r>
        <w:rPr>
          <w:rFonts w:hint="eastAsia" w:ascii="黑体" w:hAnsi="宋体" w:eastAsia="黑体"/>
          <w:color w:val="000000"/>
          <w:sz w:val="44"/>
        </w:rPr>
        <w:t xml:space="preserve"> </w:t>
      </w:r>
    </w:p>
    <w:p>
      <w:pPr>
        <w:snapToGrid w:val="0"/>
        <w:spacing w:line="840" w:lineRule="exact"/>
        <w:ind w:right="-19" w:rightChars="-6"/>
        <w:jc w:val="left"/>
        <w:rPr>
          <w:rFonts w:ascii="宋体" w:hAnsi="宋体" w:eastAsia="宋体"/>
          <w:color w:val="000000"/>
          <w:sz w:val="36"/>
          <w:u w:val="single"/>
        </w:rPr>
      </w:pPr>
      <w:r>
        <w:rPr>
          <w:rFonts w:hint="eastAsia" w:ascii="黑体" w:hAnsi="宋体" w:eastAsia="黑体"/>
          <w:color w:val="000000"/>
          <w:sz w:val="36"/>
        </w:rPr>
        <w:t xml:space="preserve">    </w:t>
      </w:r>
      <w:r>
        <w:rPr>
          <w:rFonts w:hint="eastAsia" w:ascii="宋体" w:hAnsi="宋体" w:eastAsia="宋体"/>
          <w:color w:val="000000"/>
          <w:sz w:val="36"/>
        </w:rPr>
        <w:t>学科名称：</w:t>
      </w:r>
      <w:r>
        <w:rPr>
          <w:rFonts w:hint="eastAsia" w:ascii="宋体" w:hAnsi="宋体" w:eastAsia="宋体"/>
          <w:color w:val="000000"/>
          <w:sz w:val="36"/>
          <w:u w:val="single"/>
        </w:rPr>
        <w:t xml:space="preserve">       </w:t>
      </w:r>
      <w:r>
        <w:rPr>
          <w:rFonts w:hint="eastAsia" w:ascii="宋体" w:hAnsi="宋体" w:eastAsia="宋体"/>
          <w:color w:val="000000"/>
          <w:sz w:val="36"/>
          <w:u w:val="single"/>
          <w:lang w:eastAsia="zh-CN"/>
        </w:rPr>
        <w:t>国际中文教育</w:t>
      </w:r>
      <w:r>
        <w:rPr>
          <w:rFonts w:hint="eastAsia" w:ascii="宋体" w:hAnsi="宋体" w:eastAsia="宋体"/>
          <w:color w:val="000000"/>
          <w:sz w:val="36"/>
          <w:u w:val="single"/>
          <w:lang w:val="en-US" w:eastAsia="zh-CN"/>
        </w:rPr>
        <w:t xml:space="preserve">         </w:t>
      </w:r>
      <w:r>
        <w:rPr>
          <w:rFonts w:hint="eastAsia" w:ascii="宋体" w:hAnsi="宋体" w:eastAsia="宋体"/>
          <w:color w:val="000000"/>
          <w:sz w:val="36"/>
          <w:u w:val="single"/>
        </w:rPr>
        <w:t xml:space="preserve">       </w:t>
      </w:r>
    </w:p>
    <w:p>
      <w:pPr>
        <w:spacing w:before="312" w:beforeLines="100" w:after="312" w:afterLines="100" w:line="680" w:lineRule="exact"/>
        <w:ind w:right="-19" w:rightChars="-6" w:firstLine="720" w:firstLineChars="200"/>
        <w:jc w:val="left"/>
        <w:rPr>
          <w:rFonts w:ascii="宋体" w:hAnsi="宋体" w:eastAsia="宋体"/>
          <w:color w:val="000000"/>
          <w:sz w:val="44"/>
          <w:u w:val="single"/>
        </w:rPr>
      </w:pPr>
      <w:r>
        <w:rPr>
          <w:rFonts w:hint="eastAsia" w:ascii="宋体" w:hAnsi="宋体" w:eastAsia="宋体"/>
          <w:sz w:val="36"/>
        </w:rPr>
        <w:t>学科代码：</w:t>
      </w:r>
      <w:r>
        <w:rPr>
          <w:rFonts w:hint="eastAsia" w:ascii="宋体" w:hAnsi="宋体" w:eastAsia="宋体"/>
          <w:color w:val="000000"/>
          <w:sz w:val="36"/>
          <w:u w:val="single"/>
        </w:rPr>
        <w:t xml:space="preserve">         045</w:t>
      </w:r>
      <w:r>
        <w:rPr>
          <w:rFonts w:ascii="宋体" w:hAnsi="宋体" w:eastAsia="宋体"/>
          <w:color w:val="000000"/>
          <w:sz w:val="36"/>
          <w:u w:val="single"/>
        </w:rPr>
        <w:t>3</w:t>
      </w:r>
      <w:r>
        <w:rPr>
          <w:rFonts w:hint="eastAsia" w:ascii="宋体" w:hAnsi="宋体" w:eastAsia="宋体"/>
          <w:color w:val="000000"/>
          <w:sz w:val="36"/>
          <w:u w:val="single"/>
          <w:lang w:val="en-US" w:eastAsia="zh-CN"/>
        </w:rPr>
        <w:t xml:space="preserve">00   </w:t>
      </w:r>
      <w:r>
        <w:rPr>
          <w:rFonts w:hint="eastAsia" w:ascii="宋体" w:hAnsi="宋体" w:eastAsia="宋体"/>
          <w:color w:val="000000"/>
          <w:sz w:val="36"/>
          <w:u w:val="single"/>
        </w:rPr>
        <w:t xml:space="preserve">            </w:t>
      </w:r>
    </w:p>
    <w:p>
      <w:pPr>
        <w:snapToGrid w:val="0"/>
        <w:spacing w:line="840" w:lineRule="exact"/>
        <w:ind w:right="-19" w:rightChars="-6" w:firstLine="720" w:firstLineChars="200"/>
        <w:jc w:val="left"/>
        <w:rPr>
          <w:color w:val="000000" w:themeColor="text1"/>
          <w:sz w:val="21"/>
          <w:u w:val="single"/>
          <w14:textFill>
            <w14:solidFill>
              <w14:schemeClr w14:val="tx1"/>
            </w14:solidFill>
          </w14:textFill>
        </w:rPr>
      </w:pPr>
      <w:r>
        <w:rPr>
          <w:rFonts w:hint="eastAsia" w:ascii="宋体" w:hAnsi="宋体" w:eastAsia="宋体"/>
          <w:sz w:val="36"/>
        </w:rPr>
        <w:t>方向（领域）：</w:t>
      </w:r>
      <w:r>
        <w:rPr>
          <w:rFonts w:hint="eastAsia" w:ascii="宋体" w:hAnsi="宋体" w:eastAsia="宋体"/>
          <w:color w:val="000000"/>
          <w:sz w:val="36"/>
          <w:u w:val="single"/>
        </w:rPr>
        <w:t xml:space="preserve"> </w:t>
      </w:r>
      <w:r>
        <w:rPr>
          <w:color w:val="000000" w:themeColor="text1"/>
          <w:sz w:val="21"/>
          <w:u w:val="single"/>
          <w14:textFill>
            <w14:solidFill>
              <w14:schemeClr w14:val="tx1"/>
            </w14:solidFill>
          </w14:textFill>
        </w:rPr>
        <w:t xml:space="preserve"> </w:t>
      </w:r>
      <w:r>
        <w:rPr>
          <w:rFonts w:hint="eastAsia" w:ascii="宋体" w:hAnsi="宋体" w:eastAsia="宋体"/>
          <w:color w:val="000000"/>
          <w:sz w:val="36"/>
          <w:u w:val="single"/>
        </w:rPr>
        <w:t xml:space="preserve"> </w:t>
      </w:r>
      <w:r>
        <w:rPr>
          <w:rFonts w:hint="eastAsia" w:ascii="宋体" w:hAnsi="宋体" w:eastAsia="宋体"/>
          <w:color w:val="000000"/>
          <w:sz w:val="36"/>
          <w:u w:val="single"/>
          <w:lang w:eastAsia="zh-CN"/>
        </w:rPr>
        <w:t>国际中文教育</w:t>
      </w:r>
      <w:r>
        <w:rPr>
          <w:rFonts w:hint="eastAsia" w:ascii="宋体" w:hAnsi="宋体" w:eastAsia="宋体"/>
          <w:color w:val="000000"/>
          <w:sz w:val="36"/>
          <w:u w:val="single"/>
        </w:rPr>
        <w:t xml:space="preserve">    </w:t>
      </w:r>
      <w:r>
        <w:rPr>
          <w:rFonts w:ascii="宋体" w:hAnsi="宋体" w:eastAsia="宋体"/>
          <w:color w:val="000000"/>
          <w:sz w:val="36"/>
          <w:u w:val="single"/>
        </w:rPr>
        <w:t xml:space="preserve">     </w:t>
      </w:r>
    </w:p>
    <w:p>
      <w:pPr>
        <w:spacing w:before="312" w:beforeLines="100" w:after="312" w:afterLines="100" w:line="680" w:lineRule="exact"/>
        <w:ind w:right="-19" w:rightChars="-6" w:firstLine="720" w:firstLineChars="200"/>
        <w:jc w:val="left"/>
        <w:rPr>
          <w:rFonts w:ascii="宋体" w:hAnsi="宋体" w:eastAsia="宋体"/>
          <w:color w:val="000000"/>
          <w:sz w:val="36"/>
          <w:u w:val="single"/>
        </w:rPr>
      </w:pPr>
      <w:r>
        <w:rPr>
          <w:rFonts w:hint="eastAsia" w:ascii="宋体" w:hAnsi="宋体" w:eastAsia="宋体"/>
          <w:sz w:val="36"/>
        </w:rPr>
        <w:t>培养单位：</w:t>
      </w:r>
      <w:r>
        <w:rPr>
          <w:rFonts w:hint="eastAsia" w:ascii="宋体" w:hAnsi="宋体" w:eastAsia="宋体"/>
          <w:color w:val="000000"/>
          <w:sz w:val="36"/>
          <w:u w:val="single"/>
        </w:rPr>
        <w:t xml:space="preserve">         文学院            </w:t>
      </w:r>
    </w:p>
    <w:p>
      <w:pPr>
        <w:spacing w:before="312" w:beforeLines="100" w:after="312" w:afterLines="100" w:line="680" w:lineRule="exact"/>
        <w:ind w:right="-19" w:rightChars="-6" w:firstLine="720" w:firstLineChars="200"/>
        <w:jc w:val="left"/>
        <w:rPr>
          <w:rFonts w:ascii="宋体" w:hAnsi="宋体" w:eastAsia="宋体"/>
          <w:color w:val="000000"/>
          <w:sz w:val="36"/>
          <w:u w:val="single"/>
        </w:rPr>
      </w:pPr>
      <w:r>
        <w:rPr>
          <w:rFonts w:hint="eastAsia" w:ascii="宋体" w:hAnsi="宋体" w:eastAsia="宋体"/>
          <w:sz w:val="36"/>
        </w:rPr>
        <w:t>填表日期：</w:t>
      </w:r>
      <w:r>
        <w:rPr>
          <w:rFonts w:hint="eastAsia" w:ascii="宋体" w:hAnsi="宋体" w:eastAsia="宋体"/>
          <w:color w:val="000000"/>
          <w:sz w:val="36"/>
          <w:u w:val="single"/>
        </w:rPr>
        <w:t xml:space="preserve">     </w:t>
      </w:r>
      <w:r>
        <w:rPr>
          <w:rFonts w:ascii="宋体" w:hAnsi="宋体" w:eastAsia="宋体"/>
          <w:color w:val="000000"/>
          <w:sz w:val="36"/>
          <w:u w:val="single"/>
        </w:rPr>
        <w:t xml:space="preserve"> </w:t>
      </w:r>
      <w:r>
        <w:rPr>
          <w:rFonts w:hint="eastAsia" w:ascii="宋体" w:hAnsi="宋体" w:eastAsia="宋体"/>
          <w:color w:val="000000"/>
          <w:sz w:val="36"/>
          <w:u w:val="single"/>
        </w:rPr>
        <w:t>2024年</w:t>
      </w:r>
      <w:r>
        <w:rPr>
          <w:rFonts w:ascii="宋体" w:hAnsi="宋体" w:eastAsia="宋体"/>
          <w:color w:val="000000"/>
          <w:sz w:val="36"/>
          <w:u w:val="single"/>
        </w:rPr>
        <w:t>6</w:t>
      </w:r>
      <w:r>
        <w:rPr>
          <w:rFonts w:hint="eastAsia" w:ascii="宋体" w:hAnsi="宋体" w:eastAsia="宋体"/>
          <w:color w:val="000000"/>
          <w:sz w:val="36"/>
          <w:u w:val="single"/>
        </w:rPr>
        <w:t xml:space="preserve">月10日     </w:t>
      </w:r>
      <w:r>
        <w:rPr>
          <w:rFonts w:ascii="宋体" w:hAnsi="宋体" w:eastAsia="宋体"/>
          <w:color w:val="000000"/>
          <w:sz w:val="36"/>
          <w:u w:val="single"/>
        </w:rPr>
        <w:t xml:space="preserve"> </w:t>
      </w:r>
    </w:p>
    <w:p>
      <w:pPr>
        <w:spacing w:before="312" w:beforeLines="100" w:after="312" w:afterLines="100" w:line="560" w:lineRule="exact"/>
        <w:ind w:right="-19" w:rightChars="-6"/>
        <w:rPr>
          <w:rFonts w:hint="eastAsia" w:ascii="宋体" w:hAnsi="宋体" w:eastAsia="宋体"/>
          <w:sz w:val="30"/>
        </w:rPr>
      </w:pPr>
      <w:r>
        <w:rPr>
          <w:rFonts w:hint="eastAsia" w:ascii="宋体" w:hAnsi="宋体" w:eastAsia="宋体"/>
          <w:sz w:val="30"/>
        </w:rPr>
        <w:t xml:space="preserve"> </w:t>
      </w:r>
    </w:p>
    <w:p>
      <w:pPr>
        <w:spacing w:before="312" w:beforeLines="100" w:after="312" w:afterLines="100" w:line="560" w:lineRule="exact"/>
        <w:ind w:right="-19" w:rightChars="-6"/>
        <w:rPr>
          <w:rFonts w:hint="eastAsia" w:ascii="宋体" w:hAnsi="宋体" w:eastAsia="宋体"/>
          <w:sz w:val="30"/>
        </w:rPr>
      </w:pPr>
    </w:p>
    <w:p>
      <w:pPr>
        <w:spacing w:line="560" w:lineRule="exact"/>
        <w:ind w:right="-19" w:rightChars="-6"/>
        <w:jc w:val="center"/>
        <w:rPr>
          <w:rFonts w:ascii="宋体" w:hAnsi="宋体" w:eastAsia="宋体"/>
          <w:sz w:val="30"/>
        </w:rPr>
      </w:pPr>
      <w:r>
        <w:rPr>
          <w:rFonts w:hint="eastAsia" w:ascii="宋体" w:hAnsi="宋体" w:eastAsia="宋体"/>
          <w:sz w:val="30"/>
        </w:rPr>
        <w:t xml:space="preserve"> </w:t>
      </w:r>
      <w:r>
        <w:rPr>
          <w:rFonts w:hint="eastAsia" w:ascii="宋体" w:hAnsi="宋体" w:eastAsia="宋体"/>
        </w:rPr>
        <w:t>学科建设与研究生工作处制</w:t>
      </w:r>
    </w:p>
    <w:p>
      <w:pPr>
        <w:spacing w:line="560" w:lineRule="exact"/>
        <w:ind w:right="-19" w:rightChars="-6"/>
        <w:jc w:val="center"/>
        <w:rPr>
          <w:rFonts w:hint="eastAsia" w:ascii="宋体" w:hAnsi="宋体" w:eastAsia="宋体"/>
        </w:rPr>
      </w:pPr>
      <w:r>
        <w:rPr>
          <w:rFonts w:hint="eastAsia" w:ascii="宋体" w:hAnsi="宋体" w:eastAsia="宋体"/>
        </w:rPr>
        <w:t>2024年6月</w:t>
      </w:r>
    </w:p>
    <w:p>
      <w:pPr>
        <w:rPr>
          <w:rFonts w:hint="eastAsia" w:ascii="宋体" w:hAnsi="宋体" w:eastAsia="宋体"/>
        </w:rPr>
      </w:pPr>
      <w:r>
        <w:rPr>
          <w:rFonts w:hint="eastAsia" w:ascii="宋体" w:hAnsi="宋体" w:eastAsia="宋体"/>
        </w:rPr>
        <w:br w:type="page"/>
      </w:r>
    </w:p>
    <w:p>
      <w:pPr>
        <w:spacing w:line="560" w:lineRule="exact"/>
        <w:ind w:right="-19" w:rightChars="-6"/>
        <w:jc w:val="center"/>
        <w:rPr>
          <w:rFonts w:hint="eastAsia" w:ascii="宋体" w:hAnsi="宋体" w:eastAsia="宋体"/>
        </w:rPr>
      </w:pPr>
    </w:p>
    <w:p>
      <w:pPr>
        <w:numPr>
          <w:ilvl w:val="0"/>
          <w:numId w:val="1"/>
        </w:numPr>
        <w:spacing w:line="540" w:lineRule="exact"/>
        <w:ind w:left="640" w:right="-19" w:rightChars="-6"/>
        <w:rPr>
          <w:rFonts w:ascii="黑体" w:hAnsi="黑体" w:eastAsia="黑体"/>
        </w:rPr>
      </w:pPr>
      <w:r>
        <w:rPr>
          <w:rFonts w:hint="eastAsia" w:ascii="黑体" w:hAnsi="黑体" w:eastAsia="黑体"/>
        </w:rPr>
        <w:t>学科概况</w:t>
      </w:r>
    </w:p>
    <w:p>
      <w:pPr>
        <w:pStyle w:val="9"/>
        <w:spacing w:line="540" w:lineRule="atLeast"/>
        <w:ind w:left="420" w:right="-19" w:rightChars="-6" w:firstLine="600"/>
        <w:rPr>
          <w:rFonts w:ascii="仿宋_GB2312"/>
          <w:sz w:val="30"/>
          <w:szCs w:val="30"/>
        </w:rPr>
      </w:pPr>
      <w:r>
        <w:rPr>
          <w:rFonts w:hint="eastAsia" w:ascii="仿宋_GB2312"/>
          <w:sz w:val="30"/>
          <w:szCs w:val="30"/>
        </w:rPr>
        <w:t>国际中文教育硕士点现有导师组成员</w:t>
      </w:r>
      <w:r>
        <w:rPr>
          <w:rFonts w:hint="eastAsia" w:ascii="仿宋_GB2312"/>
          <w:sz w:val="30"/>
          <w:szCs w:val="30"/>
          <w:lang w:val="en-US" w:eastAsia="zh-CN"/>
        </w:rPr>
        <w:t>16</w:t>
      </w:r>
      <w:r>
        <w:rPr>
          <w:rFonts w:hint="eastAsia" w:ascii="仿宋_GB2312"/>
          <w:sz w:val="30"/>
          <w:szCs w:val="30"/>
        </w:rPr>
        <w:t>人，</w:t>
      </w:r>
      <w:r>
        <w:rPr>
          <w:rFonts w:ascii="仿宋_GB2312"/>
          <w:sz w:val="30"/>
          <w:szCs w:val="30"/>
        </w:rPr>
        <w:t>其中教授6</w:t>
      </w:r>
      <w:r>
        <w:rPr>
          <w:rFonts w:hint="eastAsia" w:ascii="仿宋_GB2312"/>
          <w:sz w:val="30"/>
          <w:szCs w:val="30"/>
        </w:rPr>
        <w:t>人</w:t>
      </w:r>
      <w:r>
        <w:rPr>
          <w:rFonts w:ascii="仿宋_GB2312"/>
          <w:sz w:val="30"/>
          <w:szCs w:val="30"/>
        </w:rPr>
        <w:t>，副教授</w:t>
      </w:r>
      <w:r>
        <w:rPr>
          <w:rFonts w:hint="eastAsia" w:ascii="仿宋_GB2312"/>
          <w:sz w:val="30"/>
          <w:szCs w:val="30"/>
        </w:rPr>
        <w:t>4人，讲师3人，均有博士学位，毕业于国内外著名高校。导师队伍结构合理，实力雄厚，在国际中文教育、外国文学、古代汉语、古代文学等领域成果丰硕。本硕士</w:t>
      </w:r>
      <w:r>
        <w:rPr>
          <w:rFonts w:ascii="仿宋_GB2312"/>
          <w:sz w:val="30"/>
          <w:szCs w:val="30"/>
        </w:rPr>
        <w:t>点</w:t>
      </w:r>
      <w:r>
        <w:rPr>
          <w:rFonts w:hint="eastAsia" w:ascii="仿宋_GB2312"/>
          <w:sz w:val="30"/>
          <w:szCs w:val="30"/>
        </w:rPr>
        <w:t>20</w:t>
      </w:r>
      <w:r>
        <w:rPr>
          <w:rFonts w:ascii="仿宋_GB2312"/>
          <w:sz w:val="30"/>
          <w:szCs w:val="30"/>
        </w:rPr>
        <w:t>21</w:t>
      </w:r>
      <w:r>
        <w:rPr>
          <w:rFonts w:hint="eastAsia" w:ascii="仿宋_GB2312"/>
          <w:sz w:val="30"/>
          <w:szCs w:val="30"/>
        </w:rPr>
        <w:t>年</w:t>
      </w:r>
      <w:r>
        <w:rPr>
          <w:rFonts w:ascii="仿宋_GB2312"/>
          <w:sz w:val="30"/>
          <w:szCs w:val="30"/>
        </w:rPr>
        <w:t>获得硕士学位授予权，202</w:t>
      </w:r>
      <w:r>
        <w:rPr>
          <w:rFonts w:hint="eastAsia" w:ascii="仿宋_GB2312"/>
          <w:sz w:val="30"/>
          <w:szCs w:val="30"/>
          <w:lang w:val="en-US" w:eastAsia="zh-CN"/>
        </w:rPr>
        <w:t>2</w:t>
      </w:r>
      <w:r>
        <w:rPr>
          <w:rFonts w:hint="eastAsia" w:ascii="仿宋_GB2312"/>
          <w:sz w:val="30"/>
          <w:szCs w:val="30"/>
        </w:rPr>
        <w:t>年</w:t>
      </w:r>
      <w:r>
        <w:rPr>
          <w:rFonts w:ascii="仿宋_GB2312"/>
          <w:sz w:val="30"/>
          <w:szCs w:val="30"/>
        </w:rPr>
        <w:t>开始招生</w:t>
      </w:r>
      <w:r>
        <w:rPr>
          <w:rFonts w:hint="eastAsia" w:ascii="仿宋_GB2312"/>
          <w:sz w:val="30"/>
          <w:szCs w:val="30"/>
        </w:rPr>
        <w:t>。</w:t>
      </w:r>
    </w:p>
    <w:p>
      <w:pPr>
        <w:numPr>
          <w:ilvl w:val="0"/>
          <w:numId w:val="1"/>
        </w:numPr>
        <w:spacing w:line="540" w:lineRule="exact"/>
        <w:ind w:left="640" w:right="-19" w:rightChars="-6"/>
        <w:rPr>
          <w:rFonts w:ascii="黑体" w:hAnsi="黑体" w:eastAsia="黑体"/>
        </w:rPr>
      </w:pPr>
      <w:r>
        <w:rPr>
          <w:rFonts w:hint="eastAsia" w:ascii="黑体" w:hAnsi="黑体" w:eastAsia="黑体"/>
        </w:rPr>
        <w:t>培养方向</w:t>
      </w:r>
    </w:p>
    <w:p>
      <w:pPr>
        <w:spacing w:line="540" w:lineRule="exact"/>
        <w:ind w:right="-19" w:rightChars="-6" w:firstLine="600" w:firstLineChars="200"/>
        <w:rPr>
          <w:rFonts w:ascii="仿宋_GB2312"/>
          <w:sz w:val="30"/>
          <w:szCs w:val="30"/>
        </w:rPr>
      </w:pPr>
      <w:r>
        <w:rPr>
          <w:rFonts w:hint="eastAsia" w:ascii="仿宋_GB2312"/>
          <w:sz w:val="30"/>
          <w:szCs w:val="30"/>
        </w:rPr>
        <w:t>1</w:t>
      </w:r>
      <w:r>
        <w:rPr>
          <w:rFonts w:ascii="仿宋_GB2312"/>
          <w:sz w:val="30"/>
          <w:szCs w:val="30"/>
        </w:rPr>
        <w:t>.</w:t>
      </w:r>
      <w:r>
        <w:rPr>
          <w:rFonts w:hint="eastAsia" w:ascii="仿宋_GB2312"/>
          <w:sz w:val="30"/>
          <w:szCs w:val="30"/>
        </w:rPr>
        <w:t xml:space="preserve">中华文化的挖掘、整理和海外传播 </w:t>
      </w:r>
    </w:p>
    <w:p>
      <w:pPr>
        <w:spacing w:line="540" w:lineRule="exact"/>
        <w:ind w:right="-19" w:rightChars="-6" w:firstLine="600" w:firstLineChars="200"/>
        <w:rPr>
          <w:rFonts w:ascii="仿宋_GB2312"/>
          <w:sz w:val="30"/>
          <w:szCs w:val="30"/>
        </w:rPr>
      </w:pPr>
      <w:r>
        <w:rPr>
          <w:rFonts w:hint="eastAsia" w:ascii="仿宋_GB2312"/>
          <w:sz w:val="30"/>
          <w:szCs w:val="30"/>
        </w:rPr>
        <w:t>该方向致力于中华优秀传统文化和闽南文化的研究与人才培养，并为中华文化的传播与推广做出贡献。</w:t>
      </w:r>
    </w:p>
    <w:p>
      <w:pPr>
        <w:spacing w:line="540" w:lineRule="exact"/>
        <w:ind w:right="-19" w:rightChars="-6" w:firstLine="600" w:firstLineChars="200"/>
        <w:rPr>
          <w:rFonts w:ascii="仿宋_GB2312"/>
          <w:sz w:val="30"/>
          <w:szCs w:val="30"/>
        </w:rPr>
      </w:pPr>
      <w:r>
        <w:rPr>
          <w:rFonts w:ascii="仿宋_GB2312"/>
          <w:sz w:val="30"/>
          <w:szCs w:val="30"/>
        </w:rPr>
        <w:t>2.</w:t>
      </w:r>
      <w:r>
        <w:rPr>
          <w:rFonts w:hint="eastAsia" w:ascii="仿宋_GB2312"/>
          <w:sz w:val="30"/>
          <w:szCs w:val="30"/>
        </w:rPr>
        <w:t xml:space="preserve"> 国别化汉语教材开发</w:t>
      </w:r>
    </w:p>
    <w:p>
      <w:pPr>
        <w:spacing w:line="540" w:lineRule="exact"/>
        <w:ind w:right="-19" w:rightChars="-6" w:firstLine="600" w:firstLineChars="200"/>
        <w:rPr>
          <w:rFonts w:ascii="仿宋_GB2312"/>
          <w:sz w:val="30"/>
          <w:szCs w:val="30"/>
        </w:rPr>
      </w:pPr>
      <w:r>
        <w:rPr>
          <w:rFonts w:hint="eastAsia" w:ascii="仿宋_GB2312"/>
          <w:sz w:val="30"/>
          <w:szCs w:val="30"/>
        </w:rPr>
        <w:t>致力于编写大量适合短期汉语研学的教学案例,以此为基础，融合词汇、语法、跨文化交际等学科开发适合非汉语母语者学习汉语的教材。</w:t>
      </w:r>
    </w:p>
    <w:p>
      <w:pPr>
        <w:spacing w:line="540" w:lineRule="exact"/>
        <w:ind w:right="-19" w:rightChars="-6" w:firstLine="600" w:firstLineChars="200"/>
        <w:rPr>
          <w:rFonts w:ascii="仿宋_GB2312"/>
          <w:sz w:val="30"/>
          <w:szCs w:val="30"/>
        </w:rPr>
      </w:pPr>
      <w:r>
        <w:rPr>
          <w:rFonts w:hint="eastAsia" w:ascii="仿宋_GB2312"/>
          <w:sz w:val="30"/>
          <w:szCs w:val="30"/>
        </w:rPr>
        <w:t>3</w:t>
      </w:r>
      <w:r>
        <w:rPr>
          <w:rFonts w:ascii="仿宋_GB2312"/>
          <w:sz w:val="30"/>
          <w:szCs w:val="30"/>
        </w:rPr>
        <w:t>.</w:t>
      </w:r>
      <w:r>
        <w:rPr>
          <w:rFonts w:hint="eastAsia" w:ascii="仿宋_GB2312"/>
          <w:sz w:val="30"/>
          <w:szCs w:val="30"/>
        </w:rPr>
        <w:t>国际中文教学法</w:t>
      </w:r>
    </w:p>
    <w:p>
      <w:pPr>
        <w:spacing w:line="540" w:lineRule="exact"/>
        <w:ind w:right="-19" w:rightChars="-6" w:firstLine="600" w:firstLineChars="200"/>
        <w:rPr>
          <w:rFonts w:ascii="仿宋_GB2312"/>
          <w:sz w:val="30"/>
          <w:szCs w:val="30"/>
        </w:rPr>
      </w:pPr>
      <w:r>
        <w:rPr>
          <w:rFonts w:hint="eastAsia" w:ascii="仿宋_GB2312"/>
          <w:sz w:val="30"/>
          <w:szCs w:val="30"/>
        </w:rPr>
        <w:t>致力于语音、词汇、语法、文字、修辞、语用等汉语本体研究，助力解决国际中文教育中的实际问题。</w:t>
      </w:r>
    </w:p>
    <w:p>
      <w:pPr>
        <w:spacing w:line="540" w:lineRule="exact"/>
        <w:ind w:right="-19" w:rightChars="-6" w:firstLine="640" w:firstLineChars="200"/>
        <w:rPr>
          <w:rFonts w:ascii="黑体" w:hAnsi="黑体" w:eastAsia="黑体"/>
        </w:rPr>
      </w:pPr>
      <w:r>
        <w:rPr>
          <w:rFonts w:hint="eastAsia" w:ascii="黑体" w:hAnsi="黑体" w:eastAsia="黑体"/>
        </w:rPr>
        <w:t>三、培养目标</w:t>
      </w:r>
    </w:p>
    <w:p>
      <w:pPr>
        <w:spacing w:line="360" w:lineRule="auto"/>
        <w:ind w:firstLine="600" w:firstLineChars="200"/>
        <w:rPr>
          <w:rFonts w:ascii="仿宋_GB2312"/>
          <w:sz w:val="30"/>
          <w:szCs w:val="30"/>
        </w:rPr>
      </w:pPr>
      <w:r>
        <w:rPr>
          <w:rFonts w:hint="eastAsia" w:ascii="仿宋_GB2312"/>
          <w:sz w:val="30"/>
          <w:szCs w:val="30"/>
        </w:rPr>
        <w:t>国际中文教育硕士专业学位是与国际中文教师职业相衔接的专业学位。主要培养具有熟练的汉语作为第二语言教学技能和良好的文化传播技能、跨文化交际能力，适应国际中文推广工作，胜任多种教学任务的高层次、应用型、复合型、国际化专门人才。</w:t>
      </w:r>
    </w:p>
    <w:p>
      <w:pPr>
        <w:spacing w:line="360" w:lineRule="auto"/>
        <w:ind w:firstLine="600" w:firstLineChars="200"/>
        <w:rPr>
          <w:rFonts w:ascii="仿宋_GB2312"/>
          <w:sz w:val="30"/>
          <w:szCs w:val="30"/>
        </w:rPr>
      </w:pPr>
      <w:r>
        <w:rPr>
          <w:rFonts w:hint="eastAsia" w:ascii="仿宋_GB2312"/>
          <w:sz w:val="30"/>
          <w:szCs w:val="30"/>
        </w:rPr>
        <w:t>具体培养要求：</w:t>
      </w:r>
    </w:p>
    <w:p>
      <w:pPr>
        <w:spacing w:line="360" w:lineRule="auto"/>
        <w:ind w:left="360"/>
        <w:rPr>
          <w:rFonts w:ascii="仿宋_GB2312"/>
          <w:sz w:val="30"/>
          <w:szCs w:val="30"/>
        </w:rPr>
      </w:pPr>
      <w:r>
        <w:rPr>
          <w:rFonts w:hint="eastAsia" w:ascii="仿宋_GB2312"/>
          <w:sz w:val="30"/>
          <w:szCs w:val="30"/>
        </w:rPr>
        <w:t>（一）掌握马克思主义基本理论，具备良好的专业素质和职业道德。</w:t>
      </w:r>
    </w:p>
    <w:p>
      <w:pPr>
        <w:spacing w:line="360" w:lineRule="auto"/>
        <w:ind w:left="360"/>
        <w:rPr>
          <w:rFonts w:ascii="仿宋_GB2312"/>
          <w:sz w:val="30"/>
          <w:szCs w:val="30"/>
        </w:rPr>
      </w:pPr>
      <w:r>
        <w:rPr>
          <w:rFonts w:hint="eastAsia" w:ascii="仿宋_GB2312"/>
          <w:sz w:val="30"/>
          <w:szCs w:val="30"/>
        </w:rPr>
        <w:t>（二）热爱国际中文教育事业，具有奉献精神和开拓意识。</w:t>
      </w:r>
    </w:p>
    <w:p>
      <w:pPr>
        <w:spacing w:line="360" w:lineRule="auto"/>
        <w:ind w:left="360"/>
        <w:rPr>
          <w:rFonts w:ascii="仿宋_GB2312"/>
          <w:sz w:val="30"/>
          <w:szCs w:val="30"/>
        </w:rPr>
      </w:pPr>
      <w:r>
        <w:rPr>
          <w:rFonts w:hint="eastAsia" w:ascii="仿宋_GB2312"/>
          <w:sz w:val="30"/>
          <w:szCs w:val="30"/>
        </w:rPr>
        <w:t>（三）具有系统的专业知识、较高的中华文化素养和跨文化交际能力。</w:t>
      </w:r>
    </w:p>
    <w:p>
      <w:pPr>
        <w:spacing w:line="360" w:lineRule="auto"/>
        <w:ind w:left="360"/>
        <w:rPr>
          <w:rFonts w:ascii="仿宋_GB2312"/>
          <w:sz w:val="30"/>
          <w:szCs w:val="30"/>
        </w:rPr>
      </w:pPr>
      <w:r>
        <w:rPr>
          <w:rFonts w:hint="eastAsia" w:ascii="仿宋_GB2312"/>
          <w:sz w:val="30"/>
          <w:szCs w:val="30"/>
        </w:rPr>
        <w:t>（四）具备熟练的汉语作为第二语言教学技能，能熟练运用现代教育技术和科技手段进行教学。</w:t>
      </w:r>
    </w:p>
    <w:p>
      <w:pPr>
        <w:spacing w:line="360" w:lineRule="auto"/>
        <w:ind w:left="360"/>
        <w:rPr>
          <w:rFonts w:ascii="仿宋_GB2312"/>
          <w:sz w:val="30"/>
          <w:szCs w:val="30"/>
        </w:rPr>
      </w:pPr>
      <w:r>
        <w:rPr>
          <w:rFonts w:hint="eastAsia" w:ascii="仿宋_GB2312"/>
          <w:sz w:val="30"/>
          <w:szCs w:val="30"/>
        </w:rPr>
        <w:t>（五）具有较高的中华文化素养和传播能力。</w:t>
      </w:r>
    </w:p>
    <w:p>
      <w:pPr>
        <w:spacing w:line="360" w:lineRule="auto"/>
        <w:ind w:left="360"/>
        <w:rPr>
          <w:rFonts w:ascii="仿宋_GB2312"/>
          <w:sz w:val="30"/>
          <w:szCs w:val="30"/>
        </w:rPr>
      </w:pPr>
      <w:r>
        <w:rPr>
          <w:rFonts w:hint="eastAsia" w:ascii="仿宋_GB2312"/>
          <w:sz w:val="30"/>
          <w:szCs w:val="30"/>
        </w:rPr>
        <w:t>（六）能流利地使用一种外语进行教学和交流，具备适应所在国教育特点的跨文化环境下的教学能力和交际能力。</w:t>
      </w:r>
    </w:p>
    <w:p>
      <w:pPr>
        <w:spacing w:line="540" w:lineRule="exact"/>
        <w:ind w:left="640" w:right="-19" w:rightChars="-6"/>
        <w:rPr>
          <w:rFonts w:ascii="黑体" w:hAnsi="黑体" w:eastAsia="黑体"/>
        </w:rPr>
      </w:pPr>
      <w:r>
        <w:rPr>
          <w:rFonts w:hint="eastAsia" w:ascii="黑体" w:hAnsi="黑体" w:eastAsia="黑体"/>
        </w:rPr>
        <w:t>四、标准学制</w:t>
      </w:r>
    </w:p>
    <w:p>
      <w:pPr>
        <w:spacing w:line="540" w:lineRule="exact"/>
        <w:ind w:right="-19" w:rightChars="-6" w:firstLine="600" w:firstLineChars="200"/>
        <w:rPr>
          <w:rFonts w:ascii="仿宋_GB2312"/>
          <w:sz w:val="30"/>
          <w:szCs w:val="30"/>
        </w:rPr>
      </w:pPr>
      <w:r>
        <w:rPr>
          <w:rFonts w:hint="eastAsia" w:ascii="仿宋_GB2312"/>
          <w:sz w:val="30"/>
          <w:szCs w:val="30"/>
        </w:rPr>
        <w:t>硕士学制</w:t>
      </w:r>
      <w:r>
        <w:rPr>
          <w:rFonts w:ascii="仿宋_GB2312"/>
          <w:sz w:val="30"/>
          <w:szCs w:val="30"/>
        </w:rPr>
        <w:t>3</w:t>
      </w:r>
      <w:r>
        <w:rPr>
          <w:rFonts w:hint="eastAsia" w:ascii="仿宋_GB2312"/>
          <w:sz w:val="30"/>
          <w:szCs w:val="30"/>
        </w:rPr>
        <w:t>年。在校年限最长为5年。</w:t>
      </w:r>
    </w:p>
    <w:p>
      <w:pPr>
        <w:spacing w:line="540" w:lineRule="exact"/>
        <w:ind w:right="-19" w:rightChars="-6" w:firstLine="640" w:firstLineChars="200"/>
        <w:rPr>
          <w:rFonts w:ascii="黑体" w:hAnsi="黑体" w:eastAsia="黑体"/>
          <w:b/>
          <w:color w:val="FF0000"/>
        </w:rPr>
      </w:pPr>
      <w:r>
        <w:rPr>
          <w:rFonts w:hint="eastAsia" w:ascii="黑体" w:hAnsi="黑体" w:eastAsia="黑体"/>
        </w:rPr>
        <w:t>五、培养方式</w:t>
      </w:r>
    </w:p>
    <w:p>
      <w:pPr>
        <w:spacing w:line="540" w:lineRule="exact"/>
        <w:ind w:right="-19" w:rightChars="-6" w:firstLine="480" w:firstLineChars="200"/>
        <w:rPr>
          <w:rFonts w:ascii="仿宋_GB2312"/>
          <w:sz w:val="30"/>
          <w:szCs w:val="30"/>
        </w:rPr>
      </w:pPr>
      <w:r>
        <w:rPr>
          <w:rFonts w:hint="eastAsia" w:ascii="宋体" w:hAnsi="宋体" w:eastAsia="宋体" w:cs="宋体"/>
          <w:color w:val="000000"/>
          <w:sz w:val="24"/>
          <w:shd w:val="clear" w:color="auto" w:fill="FFFFFF"/>
        </w:rPr>
        <w:t xml:space="preserve"> </w:t>
      </w:r>
      <w:r>
        <w:rPr>
          <w:rFonts w:hint="eastAsia" w:ascii="仿宋_GB2312"/>
          <w:sz w:val="30"/>
          <w:szCs w:val="30"/>
        </w:rPr>
        <w:t>（一）采取导师“集体指导与个别负责相结合”的方式，充分发挥导师团队培养的优势。</w:t>
      </w:r>
    </w:p>
    <w:p>
      <w:pPr>
        <w:spacing w:line="540" w:lineRule="exact"/>
        <w:ind w:right="-19" w:rightChars="-6" w:firstLine="600" w:firstLineChars="200"/>
        <w:rPr>
          <w:rFonts w:ascii="仿宋_GB2312"/>
          <w:sz w:val="30"/>
          <w:szCs w:val="30"/>
        </w:rPr>
      </w:pPr>
      <w:r>
        <w:rPr>
          <w:rFonts w:hint="eastAsia" w:ascii="仿宋_GB2312"/>
          <w:sz w:val="30"/>
          <w:szCs w:val="30"/>
        </w:rPr>
        <w:t>（二）采用理论与实践相结合的教学方式：重视理论与实践的结合，采用课堂互动、分组研讨、合作学习、案例教学、模拟教学等方式，促进研究生教育教学理论水平与实践能力的全面提高。</w:t>
      </w:r>
    </w:p>
    <w:p>
      <w:pPr>
        <w:spacing w:line="540" w:lineRule="exact"/>
        <w:ind w:left="640" w:right="-19" w:rightChars="-6"/>
        <w:rPr>
          <w:rFonts w:ascii="黑体" w:hAnsi="黑体" w:eastAsia="黑体"/>
        </w:rPr>
      </w:pPr>
      <w:r>
        <w:rPr>
          <w:rFonts w:hint="eastAsia" w:ascii="黑体" w:hAnsi="黑体" w:eastAsia="黑体"/>
        </w:rPr>
        <w:t>六、学分学时</w:t>
      </w:r>
    </w:p>
    <w:p>
      <w:pPr>
        <w:spacing w:line="540" w:lineRule="exact"/>
        <w:ind w:right="-19" w:rightChars="-6" w:firstLine="600" w:firstLineChars="200"/>
        <w:rPr>
          <w:rFonts w:ascii="仿宋_GB2312"/>
          <w:sz w:val="30"/>
          <w:szCs w:val="30"/>
        </w:rPr>
      </w:pPr>
      <w:r>
        <w:rPr>
          <w:rFonts w:hint="eastAsia" w:ascii="仿宋_GB2312"/>
          <w:sz w:val="30"/>
          <w:szCs w:val="30"/>
        </w:rPr>
        <w:t>实行学分制，总学分</w:t>
      </w:r>
      <w:r>
        <w:rPr>
          <w:rFonts w:hint="eastAsia" w:ascii="仿宋_GB2312"/>
          <w:sz w:val="30"/>
          <w:szCs w:val="30"/>
          <w:lang w:val="en-US" w:eastAsia="zh-CN"/>
        </w:rPr>
        <w:t>40</w:t>
      </w:r>
      <w:r>
        <w:rPr>
          <w:rFonts w:hint="eastAsia" w:ascii="仿宋_GB2312"/>
          <w:sz w:val="30"/>
          <w:szCs w:val="30"/>
        </w:rPr>
        <w:t>学分。公共课、必修课和选修课不低于</w:t>
      </w:r>
      <w:r>
        <w:rPr>
          <w:rFonts w:hint="eastAsia" w:ascii="仿宋_GB2312"/>
          <w:sz w:val="30"/>
          <w:szCs w:val="30"/>
          <w:lang w:val="en-US" w:eastAsia="zh-CN"/>
        </w:rPr>
        <w:t>32</w:t>
      </w:r>
      <w:r>
        <w:rPr>
          <w:rFonts w:hint="eastAsia" w:ascii="仿宋_GB2312"/>
          <w:sz w:val="30"/>
          <w:szCs w:val="30"/>
        </w:rPr>
        <w:t>学分，必修环节8学分。</w:t>
      </w:r>
    </w:p>
    <w:p>
      <w:pPr>
        <w:spacing w:line="540" w:lineRule="exact"/>
        <w:ind w:left="640" w:right="-19" w:rightChars="-6"/>
        <w:rPr>
          <w:rFonts w:ascii="黑体" w:hAnsi="黑体" w:eastAsia="黑体"/>
        </w:rPr>
      </w:pPr>
      <w:r>
        <w:rPr>
          <w:rFonts w:hint="eastAsia" w:ascii="黑体" w:hAnsi="黑体" w:eastAsia="黑体"/>
        </w:rPr>
        <w:t>七、课程结构</w:t>
      </w:r>
    </w:p>
    <w:p>
      <w:pPr>
        <w:spacing w:line="360" w:lineRule="auto"/>
        <w:ind w:firstLine="640" w:firstLineChars="200"/>
        <w:rPr>
          <w:rFonts w:ascii="宋体" w:hAnsi="宋体"/>
          <w:szCs w:val="21"/>
        </w:rPr>
      </w:pPr>
      <w:r>
        <w:rPr>
          <w:rFonts w:hint="eastAsia" w:ascii="宋体" w:hAnsi="宋体"/>
          <w:szCs w:val="21"/>
        </w:rPr>
        <w:t>以实际应用为导向，以国际中文教师的职业需求为目标，围绕汉语教学能力、中华文化传播能力和跨文化交际能力的培养进行具体课程的设置。</w:t>
      </w:r>
    </w:p>
    <w:p>
      <w:pPr>
        <w:spacing w:line="540" w:lineRule="exact"/>
        <w:ind w:firstLine="640" w:firstLineChars="200"/>
        <w:jc w:val="left"/>
        <w:rPr>
          <w:rFonts w:ascii="宋体" w:hAnsi="宋体"/>
          <w:szCs w:val="21"/>
        </w:rPr>
      </w:pPr>
      <w:r>
        <w:rPr>
          <w:rFonts w:hint="eastAsia" w:ascii="宋体" w:hAnsi="宋体"/>
          <w:szCs w:val="21"/>
        </w:rPr>
        <w:t>（一）公共必修课 （</w:t>
      </w:r>
      <w:r>
        <w:rPr>
          <w:rFonts w:hint="eastAsia" w:ascii="宋体" w:hAnsi="宋体"/>
          <w:szCs w:val="21"/>
          <w:lang w:val="en-US" w:eastAsia="zh-CN"/>
        </w:rPr>
        <w:t>5</w:t>
      </w:r>
      <w:r>
        <w:rPr>
          <w:rFonts w:hint="eastAsia" w:ascii="宋体" w:hAnsi="宋体"/>
          <w:szCs w:val="21"/>
        </w:rPr>
        <w:t>学分）</w:t>
      </w:r>
    </w:p>
    <w:p>
      <w:pPr>
        <w:spacing w:line="540" w:lineRule="exact"/>
        <w:ind w:firstLine="640" w:firstLineChars="200"/>
        <w:jc w:val="left"/>
        <w:rPr>
          <w:rFonts w:ascii="宋体" w:hAnsi="宋体"/>
          <w:szCs w:val="21"/>
        </w:rPr>
      </w:pPr>
      <w:r>
        <w:rPr>
          <w:rFonts w:hint="eastAsia" w:ascii="宋体" w:hAnsi="宋体"/>
          <w:szCs w:val="21"/>
        </w:rPr>
        <w:t>1.新时代中国特色社会主义理论与实践研究（2学分）</w:t>
      </w:r>
    </w:p>
    <w:p>
      <w:pPr>
        <w:spacing w:line="540" w:lineRule="exact"/>
        <w:ind w:firstLine="640" w:firstLineChars="200"/>
        <w:jc w:val="left"/>
        <w:rPr>
          <w:rFonts w:ascii="宋体" w:hAnsi="宋体"/>
          <w:szCs w:val="21"/>
        </w:rPr>
      </w:pPr>
      <w:r>
        <w:rPr>
          <w:rFonts w:hint="eastAsia" w:ascii="宋体" w:hAnsi="宋体"/>
          <w:szCs w:val="21"/>
        </w:rPr>
        <w:t>2.马克思主义与社会科学方法论（</w:t>
      </w:r>
      <w:r>
        <w:rPr>
          <w:rFonts w:ascii="宋体" w:hAnsi="宋体"/>
          <w:szCs w:val="21"/>
        </w:rPr>
        <w:t>1</w:t>
      </w:r>
      <w:r>
        <w:rPr>
          <w:rFonts w:hint="eastAsia" w:ascii="宋体" w:hAnsi="宋体"/>
          <w:szCs w:val="21"/>
        </w:rPr>
        <w:t>学分）</w:t>
      </w:r>
    </w:p>
    <w:p>
      <w:pPr>
        <w:spacing w:line="540" w:lineRule="exact"/>
        <w:ind w:firstLine="640" w:firstLineChars="200"/>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研究生综合英语（</w:t>
      </w:r>
      <w:r>
        <w:rPr>
          <w:rFonts w:hint="eastAsia" w:ascii="宋体" w:hAnsi="宋体"/>
          <w:szCs w:val="21"/>
          <w:lang w:val="en-US" w:eastAsia="zh-CN"/>
        </w:rPr>
        <w:t>2</w:t>
      </w:r>
      <w:r>
        <w:rPr>
          <w:rFonts w:hint="eastAsia" w:ascii="宋体" w:hAnsi="宋体"/>
          <w:szCs w:val="21"/>
        </w:rPr>
        <w:t>学分）</w:t>
      </w:r>
    </w:p>
    <w:p>
      <w:pPr>
        <w:spacing w:line="540" w:lineRule="exact"/>
        <w:ind w:firstLine="640" w:firstLineChars="200"/>
        <w:jc w:val="left"/>
        <w:rPr>
          <w:rFonts w:ascii="宋体" w:hAnsi="宋体"/>
          <w:szCs w:val="21"/>
        </w:rPr>
      </w:pPr>
      <w:r>
        <w:rPr>
          <w:rFonts w:hint="eastAsia" w:ascii="宋体" w:hAnsi="宋体"/>
          <w:szCs w:val="21"/>
        </w:rPr>
        <w:t>（二）学科基础课（</w:t>
      </w:r>
      <w:r>
        <w:rPr>
          <w:rFonts w:hint="eastAsia" w:ascii="宋体" w:hAnsi="宋体"/>
          <w:szCs w:val="21"/>
          <w:lang w:val="en-US" w:eastAsia="zh-CN"/>
        </w:rPr>
        <w:t>11</w:t>
      </w:r>
      <w:r>
        <w:rPr>
          <w:rFonts w:hint="eastAsia" w:ascii="宋体" w:hAnsi="宋体"/>
          <w:szCs w:val="21"/>
        </w:rPr>
        <w:t>分）</w:t>
      </w:r>
    </w:p>
    <w:p>
      <w:pPr>
        <w:spacing w:line="540" w:lineRule="exact"/>
        <w:ind w:firstLine="640" w:firstLineChars="200"/>
        <w:jc w:val="left"/>
        <w:rPr>
          <w:rFonts w:ascii="宋体" w:hAnsi="宋体"/>
          <w:szCs w:val="21"/>
        </w:rPr>
      </w:pPr>
      <w:r>
        <w:rPr>
          <w:rFonts w:hint="eastAsia" w:ascii="宋体" w:hAnsi="宋体"/>
          <w:szCs w:val="21"/>
        </w:rPr>
        <w:t>1.汉语作为第二语言教学（</w:t>
      </w:r>
      <w:r>
        <w:rPr>
          <w:rFonts w:hint="eastAsia" w:ascii="宋体" w:hAnsi="宋体"/>
          <w:szCs w:val="21"/>
          <w:lang w:val="en-US" w:eastAsia="zh-CN"/>
        </w:rPr>
        <w:t>4</w:t>
      </w:r>
      <w:r>
        <w:rPr>
          <w:rFonts w:hint="eastAsia" w:ascii="宋体" w:hAnsi="宋体"/>
          <w:szCs w:val="21"/>
        </w:rPr>
        <w:t>学分）</w:t>
      </w:r>
    </w:p>
    <w:p>
      <w:pPr>
        <w:spacing w:line="540" w:lineRule="exact"/>
        <w:ind w:firstLine="640" w:firstLineChars="200"/>
        <w:jc w:val="left"/>
        <w:rPr>
          <w:rFonts w:ascii="宋体" w:hAnsi="宋体"/>
          <w:szCs w:val="21"/>
        </w:rPr>
      </w:pPr>
      <w:r>
        <w:rPr>
          <w:rFonts w:hint="eastAsia" w:ascii="宋体" w:hAnsi="宋体"/>
          <w:szCs w:val="21"/>
        </w:rPr>
        <w:t>2.</w:t>
      </w:r>
      <w:r>
        <w:rPr>
          <w:rFonts w:ascii="宋体" w:hAnsi="宋体" w:eastAsia="宋体" w:cs="宋体"/>
          <w:sz w:val="18"/>
          <w:szCs w:val="18"/>
        </w:rPr>
        <w:t xml:space="preserve"> </w:t>
      </w:r>
      <w:r>
        <w:rPr>
          <w:rFonts w:ascii="宋体" w:hAnsi="宋体"/>
          <w:szCs w:val="21"/>
        </w:rPr>
        <w:t>中</w:t>
      </w:r>
      <w:r>
        <w:rPr>
          <w:rFonts w:hint="eastAsia" w:ascii="宋体" w:hAnsi="宋体"/>
          <w:szCs w:val="21"/>
        </w:rPr>
        <w:t>华</w:t>
      </w:r>
      <w:r>
        <w:rPr>
          <w:rFonts w:ascii="宋体" w:hAnsi="宋体"/>
          <w:szCs w:val="21"/>
        </w:rPr>
        <w:t>文化与</w:t>
      </w:r>
      <w:r>
        <w:rPr>
          <w:rFonts w:hint="eastAsia" w:ascii="宋体" w:hAnsi="宋体"/>
          <w:szCs w:val="21"/>
        </w:rPr>
        <w:t>传播（</w:t>
      </w:r>
      <w:r>
        <w:rPr>
          <w:rFonts w:hint="eastAsia" w:ascii="宋体" w:hAnsi="宋体"/>
          <w:szCs w:val="21"/>
          <w:lang w:val="en-US" w:eastAsia="zh-CN"/>
        </w:rPr>
        <w:t>2</w:t>
      </w:r>
      <w:r>
        <w:rPr>
          <w:rFonts w:hint="eastAsia" w:ascii="宋体" w:hAnsi="宋体"/>
          <w:szCs w:val="21"/>
        </w:rPr>
        <w:t>学分）</w:t>
      </w:r>
    </w:p>
    <w:p>
      <w:pPr>
        <w:spacing w:line="540" w:lineRule="exact"/>
        <w:ind w:firstLine="640" w:firstLineChars="200"/>
        <w:jc w:val="left"/>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第二语言习得（</w:t>
      </w:r>
      <w:r>
        <w:rPr>
          <w:rFonts w:ascii="宋体" w:hAnsi="宋体"/>
          <w:szCs w:val="21"/>
        </w:rPr>
        <w:t>2</w:t>
      </w:r>
      <w:r>
        <w:rPr>
          <w:rFonts w:hint="eastAsia" w:ascii="宋体" w:hAnsi="宋体"/>
          <w:szCs w:val="21"/>
        </w:rPr>
        <w:t>学分）</w:t>
      </w:r>
    </w:p>
    <w:p>
      <w:pPr>
        <w:spacing w:line="540" w:lineRule="exact"/>
        <w:ind w:firstLine="640" w:firstLineChars="200"/>
        <w:jc w:val="left"/>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国外汉语课堂教学案例（</w:t>
      </w:r>
      <w:r>
        <w:rPr>
          <w:rFonts w:hint="eastAsia" w:ascii="宋体" w:hAnsi="宋体"/>
          <w:szCs w:val="21"/>
          <w:lang w:val="en-US" w:eastAsia="zh-CN"/>
        </w:rPr>
        <w:t>2</w:t>
      </w:r>
      <w:r>
        <w:rPr>
          <w:rFonts w:hint="eastAsia" w:ascii="宋体" w:hAnsi="宋体"/>
          <w:szCs w:val="21"/>
        </w:rPr>
        <w:t>学分）</w:t>
      </w:r>
    </w:p>
    <w:p>
      <w:pPr>
        <w:spacing w:line="360" w:lineRule="auto"/>
        <w:ind w:firstLine="640" w:firstLineChars="200"/>
        <w:rPr>
          <w:rFonts w:ascii="宋体" w:hAnsi="宋体"/>
          <w:szCs w:val="21"/>
        </w:rPr>
      </w:pPr>
      <w:r>
        <w:rPr>
          <w:rFonts w:ascii="宋体" w:hAnsi="宋体"/>
          <w:szCs w:val="21"/>
        </w:rPr>
        <w:t xml:space="preserve">5. </w:t>
      </w:r>
      <w:r>
        <w:rPr>
          <w:rFonts w:hint="eastAsia" w:ascii="宋体" w:hAnsi="宋体"/>
          <w:szCs w:val="21"/>
        </w:rPr>
        <w:t>论文写作与学术规范（1学分）</w:t>
      </w:r>
    </w:p>
    <w:p>
      <w:pPr>
        <w:spacing w:line="540" w:lineRule="exact"/>
        <w:ind w:firstLine="640" w:firstLineChars="200"/>
        <w:jc w:val="left"/>
        <w:rPr>
          <w:rFonts w:ascii="宋体" w:hAnsi="宋体"/>
          <w:szCs w:val="21"/>
        </w:rPr>
      </w:pPr>
      <w:r>
        <w:rPr>
          <w:rFonts w:hint="eastAsia" w:ascii="宋体" w:hAnsi="宋体"/>
          <w:szCs w:val="21"/>
        </w:rPr>
        <w:t>（三）方向必修课（</w:t>
      </w:r>
      <w:r>
        <w:rPr>
          <w:rFonts w:hint="eastAsia" w:ascii="宋体" w:hAnsi="宋体"/>
          <w:szCs w:val="21"/>
          <w:lang w:val="en-US" w:eastAsia="zh-CN"/>
        </w:rPr>
        <w:t>8</w:t>
      </w:r>
      <w:r>
        <w:rPr>
          <w:rFonts w:hint="eastAsia" w:ascii="宋体" w:hAnsi="宋体"/>
          <w:szCs w:val="21"/>
        </w:rPr>
        <w:t>学分）</w:t>
      </w:r>
    </w:p>
    <w:p>
      <w:pPr>
        <w:spacing w:line="360" w:lineRule="auto"/>
        <w:ind w:firstLine="64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汉语语言要素教学</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 xml:space="preserve">     </w:t>
      </w:r>
      <w:r>
        <w:rPr>
          <w:rFonts w:hint="eastAsia" w:ascii="宋体" w:hAnsi="宋体"/>
          <w:szCs w:val="21"/>
        </w:rPr>
        <w:t>（2学分）</w:t>
      </w:r>
    </w:p>
    <w:p>
      <w:pPr>
        <w:spacing w:line="540" w:lineRule="exact"/>
        <w:ind w:firstLine="640" w:firstLineChars="20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 xml:space="preserve">跨文化交际 </w:t>
      </w:r>
      <w:r>
        <w:rPr>
          <w:rFonts w:ascii="宋体" w:hAnsi="宋体"/>
          <w:szCs w:val="21"/>
        </w:rPr>
        <w:t xml:space="preserve">                      </w:t>
      </w:r>
      <w:r>
        <w:rPr>
          <w:rFonts w:hint="eastAsia" w:ascii="宋体" w:hAnsi="宋体"/>
          <w:szCs w:val="21"/>
        </w:rPr>
        <w:t>（2学分）</w:t>
      </w:r>
    </w:p>
    <w:p>
      <w:pPr>
        <w:spacing w:line="540" w:lineRule="exact"/>
        <w:ind w:firstLine="640" w:firstLineChars="200"/>
        <w:jc w:val="left"/>
        <w:rPr>
          <w:rFonts w:ascii="宋体" w:hAnsi="宋体"/>
          <w:szCs w:val="21"/>
        </w:rPr>
      </w:pPr>
      <w:r>
        <w:rPr>
          <w:rFonts w:hint="eastAsia" w:ascii="宋体" w:hAnsi="宋体"/>
          <w:szCs w:val="21"/>
        </w:rPr>
        <w:t>3</w:t>
      </w:r>
      <w:r>
        <w:rPr>
          <w:rFonts w:ascii="宋体" w:hAnsi="宋体"/>
          <w:szCs w:val="21"/>
        </w:rPr>
        <w:t>.国别化汉语教材开发和研究</w:t>
      </w:r>
      <w:r>
        <w:rPr>
          <w:rFonts w:hint="eastAsia" w:ascii="宋体" w:hAnsi="宋体"/>
          <w:szCs w:val="21"/>
        </w:rPr>
        <w:t xml:space="preserve"> </w:t>
      </w:r>
      <w:r>
        <w:rPr>
          <w:rFonts w:ascii="宋体" w:hAnsi="宋体"/>
          <w:szCs w:val="21"/>
        </w:rPr>
        <w:t xml:space="preserve">        </w:t>
      </w:r>
      <w:r>
        <w:rPr>
          <w:rFonts w:hint="eastAsia" w:ascii="宋体" w:hAnsi="宋体"/>
          <w:szCs w:val="21"/>
        </w:rPr>
        <w:t>（2学分）</w:t>
      </w:r>
    </w:p>
    <w:p>
      <w:pPr>
        <w:spacing w:line="540" w:lineRule="exact"/>
        <w:ind w:firstLine="640" w:firstLineChars="200"/>
        <w:jc w:val="lef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专业英语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2</w:t>
      </w:r>
      <w:r>
        <w:rPr>
          <w:rFonts w:hint="eastAsia" w:ascii="宋体" w:hAnsi="宋体"/>
          <w:szCs w:val="21"/>
        </w:rPr>
        <w:t>学分）</w:t>
      </w:r>
    </w:p>
    <w:p>
      <w:pPr>
        <w:spacing w:line="540" w:lineRule="exact"/>
        <w:ind w:firstLine="640" w:firstLineChars="200"/>
        <w:jc w:val="left"/>
        <w:rPr>
          <w:rFonts w:ascii="宋体" w:hAnsi="宋体"/>
          <w:szCs w:val="21"/>
        </w:rPr>
      </w:pPr>
      <w:r>
        <w:rPr>
          <w:rFonts w:hint="eastAsia" w:ascii="宋体" w:hAnsi="宋体"/>
          <w:szCs w:val="21"/>
        </w:rPr>
        <w:t>（四）专业选修课（不少于</w:t>
      </w:r>
      <w:r>
        <w:rPr>
          <w:rFonts w:hint="eastAsia" w:ascii="宋体" w:hAnsi="宋体"/>
          <w:b/>
          <w:szCs w:val="21"/>
          <w:lang w:val="en-US" w:eastAsia="zh-CN"/>
        </w:rPr>
        <w:t>8</w:t>
      </w:r>
      <w:r>
        <w:rPr>
          <w:rFonts w:hint="eastAsia" w:ascii="宋体" w:hAnsi="宋体"/>
          <w:szCs w:val="21"/>
        </w:rPr>
        <w:t>学分，每个模块至少需修满1个学分）</w:t>
      </w:r>
    </w:p>
    <w:p>
      <w:pPr>
        <w:spacing w:line="360" w:lineRule="auto"/>
        <w:ind w:firstLine="64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学科方向类：汉英语言对比、偏误分析、汉语教材与教</w:t>
      </w:r>
    </w:p>
    <w:p>
      <w:pPr>
        <w:spacing w:line="360" w:lineRule="auto"/>
        <w:rPr>
          <w:rFonts w:ascii="宋体" w:hAnsi="宋体"/>
          <w:szCs w:val="21"/>
        </w:rPr>
      </w:pPr>
      <w:r>
        <w:rPr>
          <w:rFonts w:hint="eastAsia" w:ascii="宋体" w:hAnsi="宋体"/>
          <w:szCs w:val="21"/>
        </w:rPr>
        <w:t>学资源、国际中文教育技术（各2学分）</w:t>
      </w:r>
    </w:p>
    <w:p>
      <w:pPr>
        <w:spacing w:line="360" w:lineRule="auto"/>
        <w:ind w:firstLine="640" w:firstLineChars="200"/>
        <w:rPr>
          <w:rFonts w:ascii="宋体" w:hAnsi="宋体"/>
          <w:color w:val="000000" w:themeColor="text1"/>
          <w:szCs w:val="21"/>
          <w14:textFill>
            <w14:solidFill>
              <w14:schemeClr w14:val="tx1"/>
            </w14:solidFill>
          </w14:textFill>
        </w:rPr>
      </w:pPr>
      <w:r>
        <w:rPr>
          <w:rFonts w:ascii="宋体" w:hAnsi="宋体"/>
          <w:szCs w:val="21"/>
        </w:rPr>
        <w:t>2.</w:t>
      </w:r>
      <w:r>
        <w:rPr>
          <w:rFonts w:hint="eastAsia" w:ascii="宋体" w:hAnsi="宋体"/>
          <w:color w:val="000000" w:themeColor="text1"/>
          <w:szCs w:val="21"/>
          <w14:textFill>
            <w14:solidFill>
              <w14:schemeClr w14:val="tx1"/>
            </w14:solidFill>
          </w14:textFill>
        </w:rPr>
        <w:t>文化素质类：中华文化才艺与展示、民俗学</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中国文学专题、中国思想史、第二外语</w:t>
      </w:r>
      <w:r>
        <w:rPr>
          <w:rFonts w:hint="eastAsia" w:ascii="宋体" w:hAnsi="宋体"/>
          <w:color w:val="000000" w:themeColor="text1"/>
          <w:szCs w:val="21"/>
          <w:lang w:eastAsia="zh-CN"/>
          <w14:textFill>
            <w14:solidFill>
              <w14:schemeClr w14:val="tx1"/>
            </w14:solidFill>
          </w14:textFill>
        </w:rPr>
        <w:t>（日语）</w:t>
      </w:r>
      <w:r>
        <w:rPr>
          <w:rFonts w:hint="eastAsia" w:ascii="宋体" w:hAnsi="宋体"/>
          <w:color w:val="000000" w:themeColor="text1"/>
          <w:szCs w:val="21"/>
          <w14:textFill>
            <w14:solidFill>
              <w14:schemeClr w14:val="tx1"/>
            </w14:solidFill>
          </w14:textFill>
        </w:rPr>
        <w:t>（各2学分），音韵文字与语言教学、</w:t>
      </w:r>
      <w:r>
        <w:rPr>
          <w:rFonts w:ascii="宋体" w:hAnsi="宋体"/>
          <w:color w:val="000000" w:themeColor="text1"/>
          <w:szCs w:val="21"/>
          <w14:textFill>
            <w14:solidFill>
              <w14:schemeClr w14:val="tx1"/>
            </w14:solidFill>
          </w14:textFill>
        </w:rPr>
        <w:t>闽南文化</w:t>
      </w:r>
      <w:r>
        <w:rPr>
          <w:rFonts w:hint="eastAsia" w:ascii="宋体" w:hAnsi="宋体"/>
          <w:color w:val="000000" w:themeColor="text1"/>
          <w:szCs w:val="21"/>
          <w14:textFill>
            <w14:solidFill>
              <w14:schemeClr w14:val="tx1"/>
            </w14:solidFill>
          </w14:textFill>
        </w:rPr>
        <w:t>研究、中外文化交流专题（各1学分）</w:t>
      </w:r>
    </w:p>
    <w:p>
      <w:pPr>
        <w:spacing w:line="360" w:lineRule="auto"/>
        <w:ind w:firstLine="640" w:firstLineChars="200"/>
        <w:rPr>
          <w:rFonts w:ascii="宋体" w:hAnsi="宋体"/>
          <w:szCs w:val="21"/>
        </w:rPr>
      </w:pPr>
      <w:r>
        <w:rPr>
          <w:rFonts w:ascii="宋体" w:hAnsi="宋体"/>
          <w:szCs w:val="21"/>
        </w:rPr>
        <w:t>3.</w:t>
      </w:r>
      <w:r>
        <w:rPr>
          <w:rFonts w:hint="eastAsia" w:ascii="宋体" w:hAnsi="宋体"/>
          <w:szCs w:val="21"/>
        </w:rPr>
        <w:t>交叉融合类：训诂学、心理语言学、社会语言学、问卷调查及人文统计分析方法（各2学分），人工智能（文史）（1学分）。其中人工智能（文史）属限定性选修课，所有硕士研究生均需修读。</w:t>
      </w:r>
    </w:p>
    <w:p>
      <w:pPr>
        <w:spacing w:line="540" w:lineRule="exact"/>
        <w:ind w:left="640" w:right="-19" w:rightChars="-6"/>
        <w:rPr>
          <w:rFonts w:ascii="宋体" w:hAnsi="宋体"/>
          <w:szCs w:val="21"/>
        </w:rPr>
      </w:pPr>
      <w:r>
        <w:rPr>
          <w:rFonts w:hint="eastAsia" w:ascii="宋体" w:hAnsi="宋体"/>
          <w:szCs w:val="21"/>
        </w:rPr>
        <w:t>（五）补修课程</w:t>
      </w:r>
    </w:p>
    <w:p>
      <w:pPr>
        <w:spacing w:line="540" w:lineRule="exact"/>
        <w:ind w:right="-19" w:rightChars="-6" w:firstLine="640" w:firstLineChars="200"/>
        <w:rPr>
          <w:rFonts w:ascii="宋体" w:hAnsi="宋体"/>
          <w:szCs w:val="21"/>
        </w:rPr>
      </w:pPr>
      <w:r>
        <w:rPr>
          <w:rFonts w:hint="eastAsia" w:ascii="宋体" w:hAnsi="宋体"/>
          <w:szCs w:val="21"/>
        </w:rPr>
        <w:t>跨学科、专业或同等学力考入的研究生，须补修现代汉语、古代汉语、语言学概论3门课程。随本科师范生学习，不计学分。</w:t>
      </w:r>
    </w:p>
    <w:p>
      <w:pPr>
        <w:spacing w:line="540" w:lineRule="exact"/>
        <w:ind w:right="-19" w:rightChars="-6" w:firstLine="640" w:firstLineChars="200"/>
        <w:rPr>
          <w:rFonts w:ascii="黑体" w:hAnsi="黑体" w:eastAsia="黑体"/>
        </w:rPr>
      </w:pPr>
      <w:r>
        <w:rPr>
          <w:rFonts w:hint="eastAsia" w:ascii="黑体" w:hAnsi="黑体" w:eastAsia="黑体"/>
        </w:rPr>
        <w:t>八、课程设计要求</w:t>
      </w:r>
    </w:p>
    <w:p>
      <w:pPr>
        <w:spacing w:line="540" w:lineRule="exact"/>
        <w:ind w:firstLine="640" w:firstLineChars="200"/>
        <w:rPr>
          <w:rFonts w:ascii="宋体" w:hAnsi="宋体"/>
          <w:szCs w:val="21"/>
        </w:rPr>
      </w:pPr>
      <w:r>
        <w:rPr>
          <w:rFonts w:hint="eastAsia" w:ascii="宋体" w:hAnsi="宋体"/>
          <w:szCs w:val="21"/>
        </w:rPr>
        <w:t>课程教学内容应与课程思政有机融合，并密切结合经济社会发展需求和行业实际应用，体现前沿性和实用性。及时将国际中文教育前沿发展动态，引入课题教学。</w:t>
      </w:r>
    </w:p>
    <w:p>
      <w:pPr>
        <w:overflowPunct w:val="0"/>
        <w:adjustRightInd w:val="0"/>
        <w:snapToGrid w:val="0"/>
        <w:spacing w:line="540" w:lineRule="exact"/>
        <w:ind w:firstLine="640" w:firstLineChars="200"/>
        <w:rPr>
          <w:rFonts w:ascii="宋体" w:hAnsi="宋体"/>
          <w:szCs w:val="21"/>
        </w:rPr>
      </w:pPr>
      <w:r>
        <w:rPr>
          <w:rFonts w:hint="eastAsia" w:ascii="宋体" w:hAnsi="宋体"/>
          <w:szCs w:val="21"/>
        </w:rPr>
        <w:t>1.课程内容体现前沿性和前瞻性，兼顾学科交叉与融合，注重引进先进课程资源和师资，结合讲座式课程与线上线下混合式课程，逐步建设高水平课程。</w:t>
      </w:r>
    </w:p>
    <w:p>
      <w:pPr>
        <w:overflowPunct w:val="0"/>
        <w:adjustRightInd w:val="0"/>
        <w:snapToGrid w:val="0"/>
        <w:spacing w:line="540" w:lineRule="exact"/>
        <w:ind w:firstLine="640" w:firstLineChars="200"/>
        <w:rPr>
          <w:rFonts w:ascii="宋体" w:hAnsi="宋体"/>
          <w:szCs w:val="21"/>
        </w:rPr>
      </w:pPr>
      <w:r>
        <w:rPr>
          <w:rFonts w:hint="eastAsia" w:ascii="宋体" w:hAnsi="宋体"/>
          <w:szCs w:val="21"/>
        </w:rPr>
        <w:t>2.交叉学科的课程设置体现国际中文教育的培养目标和要求，发挥教师的优势与特长，构建复合型人才培养的课程体系。</w:t>
      </w:r>
    </w:p>
    <w:p>
      <w:pPr>
        <w:spacing w:line="540" w:lineRule="exact"/>
        <w:ind w:firstLine="640" w:firstLineChars="200"/>
        <w:rPr>
          <w:rFonts w:ascii="宋体" w:hAnsi="宋体"/>
          <w:szCs w:val="21"/>
        </w:rPr>
      </w:pPr>
      <w:r>
        <w:rPr>
          <w:rFonts w:hint="eastAsia" w:ascii="宋体" w:hAnsi="宋体"/>
          <w:szCs w:val="21"/>
        </w:rPr>
        <w:t>3.注重案例教学的使用与开发建设，与一线教师建立共享课程资源，教学方式以参与式教学、研讨式教学、体验式教学为主。</w:t>
      </w:r>
    </w:p>
    <w:p>
      <w:pPr>
        <w:spacing w:line="540" w:lineRule="exact"/>
        <w:ind w:right="-19" w:rightChars="-6" w:firstLine="640" w:firstLineChars="200"/>
        <w:rPr>
          <w:rFonts w:ascii="黑体" w:hAnsi="黑体" w:eastAsia="黑体"/>
        </w:rPr>
      </w:pPr>
      <w:r>
        <w:rPr>
          <w:rFonts w:hint="eastAsia" w:ascii="黑体" w:hAnsi="黑体" w:eastAsia="黑体"/>
        </w:rPr>
        <w:t>九、课程评价</w:t>
      </w:r>
    </w:p>
    <w:p>
      <w:pPr>
        <w:spacing w:line="540" w:lineRule="exact"/>
        <w:ind w:firstLine="640" w:firstLineChars="200"/>
        <w:rPr>
          <w:rFonts w:ascii="宋体" w:hAnsi="宋体"/>
          <w:szCs w:val="21"/>
        </w:rPr>
      </w:pPr>
      <w:r>
        <w:rPr>
          <w:rFonts w:hint="eastAsia" w:ascii="宋体" w:hAnsi="宋体"/>
          <w:szCs w:val="21"/>
        </w:rPr>
        <w:t>主要采取形成性评价为主、终结性评价为辅的方式，采用档案袋评价等方式，通过教学案例的撰写、教学计划的执行、作业完成情况、作业评改情况、课堂组织、论文撰写等环节，对课程学习效果进行评价。</w:t>
      </w:r>
    </w:p>
    <w:p>
      <w:pPr>
        <w:spacing w:line="540" w:lineRule="exact"/>
        <w:ind w:right="-19" w:rightChars="-6" w:firstLine="640" w:firstLineChars="200"/>
        <w:rPr>
          <w:rFonts w:ascii="黑体" w:hAnsi="黑体" w:eastAsia="黑体"/>
        </w:rPr>
      </w:pPr>
      <w:r>
        <w:rPr>
          <w:rFonts w:hint="eastAsia" w:ascii="黑体" w:hAnsi="黑体" w:eastAsia="黑体"/>
        </w:rPr>
        <w:t>十、必修环节</w:t>
      </w:r>
    </w:p>
    <w:p>
      <w:pPr>
        <w:spacing w:line="540" w:lineRule="exact"/>
        <w:ind w:right="-19" w:rightChars="-6" w:firstLine="640" w:firstLineChars="200"/>
        <w:rPr>
          <w:rFonts w:ascii="宋体" w:hAnsi="宋体"/>
          <w:szCs w:val="21"/>
        </w:rPr>
      </w:pPr>
      <w:r>
        <w:rPr>
          <w:rFonts w:hint="eastAsia" w:ascii="宋体" w:hAnsi="宋体"/>
          <w:szCs w:val="21"/>
        </w:rPr>
        <w:t>必修环节是指课程学习之外的文献研读、行业讲座及报告、实践教学和中期考核等必须完成的培养环节，不计学时。</w:t>
      </w:r>
    </w:p>
    <w:p>
      <w:pPr>
        <w:spacing w:line="540" w:lineRule="exact"/>
        <w:ind w:firstLine="640" w:firstLineChars="200"/>
        <w:rPr>
          <w:rFonts w:ascii="宋体" w:hAnsi="宋体"/>
          <w:szCs w:val="21"/>
        </w:rPr>
      </w:pPr>
      <w:r>
        <w:rPr>
          <w:rFonts w:hint="eastAsia" w:ascii="宋体" w:hAnsi="宋体"/>
          <w:szCs w:val="21"/>
        </w:rPr>
        <w:t>1.文献研读（1学分）</w:t>
      </w:r>
    </w:p>
    <w:p>
      <w:pPr>
        <w:spacing w:line="540" w:lineRule="exact"/>
        <w:ind w:firstLine="640" w:firstLineChars="200"/>
        <w:rPr>
          <w:rFonts w:ascii="宋体" w:hAnsi="宋体"/>
          <w:szCs w:val="21"/>
        </w:rPr>
      </w:pPr>
      <w:r>
        <w:rPr>
          <w:rFonts w:hint="eastAsia" w:ascii="宋体" w:hAnsi="宋体"/>
          <w:szCs w:val="21"/>
        </w:rPr>
        <w:t>学生应完成本专业领域和导师指定的经典必读书目和重要学术期刊、文献专著的研读。导师负责对学生文献研读的指导、检查与考核，可采用读书报告、专题研讨，学生提交研读报告等方式进行。本专业领域要求每名硕士生至少完成10篇文献研读报告，填写在文献研读记录表中，由导师签字确认，达到此要求方可获得相应学分。</w:t>
      </w:r>
    </w:p>
    <w:p>
      <w:pPr>
        <w:spacing w:line="540" w:lineRule="exact"/>
        <w:ind w:firstLine="640" w:firstLineChars="200"/>
        <w:rPr>
          <w:rFonts w:ascii="宋体" w:hAnsi="宋体"/>
          <w:szCs w:val="21"/>
        </w:rPr>
      </w:pPr>
      <w:r>
        <w:rPr>
          <w:rFonts w:hint="eastAsia" w:ascii="宋体" w:hAnsi="宋体"/>
          <w:szCs w:val="21"/>
        </w:rPr>
        <w:t>2.讲座及报告（1学分）</w:t>
      </w:r>
    </w:p>
    <w:p>
      <w:pPr>
        <w:spacing w:line="540" w:lineRule="exact"/>
        <w:ind w:firstLine="640" w:firstLineChars="200"/>
        <w:rPr>
          <w:rFonts w:ascii="宋体" w:hAnsi="宋体"/>
          <w:szCs w:val="21"/>
        </w:rPr>
      </w:pPr>
      <w:r>
        <w:rPr>
          <w:rFonts w:hint="eastAsia" w:ascii="宋体" w:hAnsi="宋体"/>
          <w:szCs w:val="21"/>
        </w:rPr>
        <w:t>本专业领域硕士生在学期间须听取学术报告10次以上，自主开设2次学术报告，并填写《闽南师范大学研究生学术活动登记表》，达到此要求方可获得相应学分。</w:t>
      </w:r>
    </w:p>
    <w:p>
      <w:pPr>
        <w:spacing w:line="540" w:lineRule="exact"/>
        <w:ind w:firstLine="640" w:firstLineChars="200"/>
        <w:rPr>
          <w:rFonts w:ascii="宋体" w:hAnsi="宋体"/>
          <w:szCs w:val="21"/>
        </w:rPr>
      </w:pPr>
      <w:r>
        <w:rPr>
          <w:rFonts w:hint="eastAsia" w:ascii="宋体" w:hAnsi="宋体"/>
          <w:szCs w:val="21"/>
        </w:rPr>
        <w:t>3.专业实践（</w:t>
      </w:r>
      <w:r>
        <w:rPr>
          <w:rFonts w:ascii="宋体" w:hAnsi="宋体"/>
          <w:szCs w:val="21"/>
        </w:rPr>
        <w:t>6</w:t>
      </w:r>
      <w:r>
        <w:rPr>
          <w:rFonts w:hint="eastAsia" w:ascii="宋体" w:hAnsi="宋体"/>
          <w:szCs w:val="21"/>
        </w:rPr>
        <w:t>学分）</w:t>
      </w:r>
    </w:p>
    <w:p>
      <w:pPr>
        <w:spacing w:line="360" w:lineRule="auto"/>
        <w:rPr>
          <w:rFonts w:ascii="宋体" w:hAnsi="宋体"/>
          <w:szCs w:val="21"/>
        </w:rPr>
      </w:pPr>
      <w:r>
        <w:rPr>
          <w:rFonts w:hint="eastAsia" w:ascii="宋体" w:hAnsi="宋体"/>
          <w:szCs w:val="21"/>
        </w:rPr>
        <w:t xml:space="preserve">   专业实践主要通过教学实习完成。通过多种方式建立一批国内外相对稳定的多种形式的实习基地。学生通过实习为学位论文选题和完成创造条件。</w:t>
      </w:r>
    </w:p>
    <w:p>
      <w:pPr>
        <w:spacing w:line="540" w:lineRule="exact"/>
        <w:ind w:firstLine="640" w:firstLineChars="200"/>
        <w:rPr>
          <w:rFonts w:ascii="宋体" w:hAnsi="宋体"/>
          <w:szCs w:val="21"/>
        </w:rPr>
      </w:pPr>
      <w:r>
        <w:rPr>
          <w:rFonts w:hint="eastAsia" w:ascii="宋体" w:hAnsi="宋体"/>
          <w:szCs w:val="21"/>
        </w:rPr>
        <w:t>实习方式：</w:t>
      </w:r>
    </w:p>
    <w:p>
      <w:pPr>
        <w:spacing w:line="540" w:lineRule="exact"/>
        <w:ind w:firstLine="640" w:firstLineChars="200"/>
        <w:rPr>
          <w:rFonts w:ascii="宋体" w:hAnsi="宋体"/>
          <w:szCs w:val="21"/>
        </w:rPr>
      </w:pPr>
      <w:r>
        <w:rPr>
          <w:rFonts w:hint="eastAsia" w:ascii="宋体" w:hAnsi="宋体"/>
          <w:szCs w:val="21"/>
        </w:rPr>
        <w:t>（1）在国内各类学校或教育机构进行教学实习。</w:t>
      </w:r>
    </w:p>
    <w:p>
      <w:pPr>
        <w:spacing w:line="540" w:lineRule="exact"/>
        <w:ind w:firstLine="640" w:firstLineChars="200"/>
        <w:rPr>
          <w:rFonts w:ascii="宋体" w:hAnsi="宋体"/>
          <w:szCs w:val="21"/>
        </w:rPr>
      </w:pPr>
      <w:r>
        <w:rPr>
          <w:rFonts w:hint="eastAsia" w:ascii="宋体" w:hAnsi="宋体"/>
          <w:szCs w:val="21"/>
        </w:rPr>
        <w:t>（2）以志愿者身份赴海外实习，在孔子学院、外国中小学等机构从事国际中文教学和文化传播实习工作。</w:t>
      </w:r>
    </w:p>
    <w:p>
      <w:pPr>
        <w:spacing w:line="540" w:lineRule="exact"/>
        <w:ind w:firstLine="640" w:firstLineChars="200"/>
        <w:rPr>
          <w:rFonts w:ascii="宋体" w:hAnsi="宋体"/>
          <w:szCs w:val="21"/>
        </w:rPr>
      </w:pPr>
      <w:r>
        <w:rPr>
          <w:rFonts w:hint="eastAsia" w:ascii="宋体" w:hAnsi="宋体"/>
          <w:szCs w:val="21"/>
        </w:rPr>
        <w:t>（3）实习时间不少于六个月，或实习工作量必须达到240课时以上。</w:t>
      </w:r>
    </w:p>
    <w:p>
      <w:pPr>
        <w:spacing w:line="540" w:lineRule="exact"/>
        <w:ind w:firstLine="640" w:firstLineChars="200"/>
        <w:rPr>
          <w:rFonts w:ascii="宋体" w:hAnsi="宋体"/>
          <w:szCs w:val="21"/>
        </w:rPr>
      </w:pPr>
      <w:r>
        <w:rPr>
          <w:rFonts w:hint="eastAsia" w:ascii="宋体" w:hAnsi="宋体"/>
          <w:szCs w:val="21"/>
        </w:rPr>
        <w:t>实习管理：</w:t>
      </w:r>
    </w:p>
    <w:p>
      <w:pPr>
        <w:spacing w:line="540" w:lineRule="exact"/>
        <w:ind w:firstLine="640" w:firstLineChars="200"/>
        <w:rPr>
          <w:rFonts w:ascii="宋体" w:hAnsi="宋体"/>
          <w:szCs w:val="21"/>
        </w:rPr>
      </w:pPr>
      <w:r>
        <w:rPr>
          <w:rFonts w:hint="eastAsia" w:ascii="宋体" w:hAnsi="宋体"/>
          <w:szCs w:val="21"/>
        </w:rPr>
        <w:t>（1）志愿者由国家汉办或培养学校选拔派出。</w:t>
      </w:r>
    </w:p>
    <w:p>
      <w:pPr>
        <w:spacing w:line="540" w:lineRule="exact"/>
        <w:ind w:firstLine="640" w:firstLineChars="200"/>
        <w:rPr>
          <w:rFonts w:ascii="宋体" w:hAnsi="宋体"/>
          <w:szCs w:val="21"/>
        </w:rPr>
      </w:pPr>
      <w:r>
        <w:rPr>
          <w:rFonts w:hint="eastAsia" w:ascii="宋体" w:hAnsi="宋体"/>
          <w:szCs w:val="21"/>
        </w:rPr>
        <w:t>（2）教学实习安排在第二学年进行。实习期间，培养学校安排教师进行指导，学生需提交实习计划，撰写实习总结报告。</w:t>
      </w:r>
    </w:p>
    <w:p>
      <w:pPr>
        <w:spacing w:line="540" w:lineRule="exact"/>
        <w:ind w:firstLine="640" w:firstLineChars="200"/>
        <w:rPr>
          <w:rFonts w:ascii="宋体" w:hAnsi="宋体"/>
          <w:szCs w:val="21"/>
        </w:rPr>
      </w:pPr>
      <w:r>
        <w:rPr>
          <w:rFonts w:hint="eastAsia" w:ascii="宋体" w:hAnsi="宋体"/>
          <w:szCs w:val="21"/>
        </w:rPr>
        <w:t>（3）由实习单位出具考评意见，学生提交实习报告。</w:t>
      </w:r>
    </w:p>
    <w:p>
      <w:pPr>
        <w:spacing w:line="540" w:lineRule="exact"/>
        <w:ind w:firstLine="640" w:firstLineChars="200"/>
        <w:rPr>
          <w:rFonts w:ascii="宋体" w:hAnsi="宋体"/>
          <w:szCs w:val="21"/>
        </w:rPr>
      </w:pPr>
      <w:r>
        <w:rPr>
          <w:rFonts w:hint="eastAsia" w:ascii="宋体" w:hAnsi="宋体"/>
          <w:szCs w:val="21"/>
        </w:rPr>
        <w:t>4.中期考核</w:t>
      </w:r>
      <w:bookmarkStart w:id="0" w:name="_GoBack"/>
      <w:bookmarkEnd w:id="0"/>
    </w:p>
    <w:p>
      <w:pPr>
        <w:spacing w:line="540" w:lineRule="exact"/>
        <w:ind w:firstLine="640" w:firstLineChars="200"/>
        <w:rPr>
          <w:rFonts w:ascii="宋体" w:hAnsi="宋体"/>
          <w:szCs w:val="21"/>
        </w:rPr>
      </w:pPr>
      <w:r>
        <w:rPr>
          <w:rFonts w:hint="eastAsia" w:ascii="宋体" w:hAnsi="宋体"/>
          <w:szCs w:val="21"/>
        </w:rPr>
        <w:t>在课程学习结束、开题报告完成后组织对研究生进行中期考核，综合考查研究生政治思想、课程学习、科研能力和专业实践能力以及身体健康等方面的状况，具体考核办法和处理按照《闽南师范大学硕士研究生中期考核办法》执行，考核结果报学科建设与研究生工作处备案。</w:t>
      </w:r>
    </w:p>
    <w:p>
      <w:pPr>
        <w:spacing w:line="540" w:lineRule="exact"/>
        <w:ind w:right="-19" w:rightChars="-6" w:firstLine="640" w:firstLineChars="200"/>
        <w:rPr>
          <w:rFonts w:ascii="黑体" w:hAnsi="黑体" w:eastAsia="黑体"/>
        </w:rPr>
      </w:pPr>
      <w:r>
        <w:rPr>
          <w:rFonts w:hint="eastAsia" w:ascii="黑体" w:hAnsi="黑体" w:eastAsia="黑体"/>
        </w:rPr>
        <w:t>十一、毕业要求和标准</w:t>
      </w:r>
    </w:p>
    <w:p>
      <w:pPr>
        <w:spacing w:line="540" w:lineRule="exact"/>
        <w:ind w:firstLine="640" w:firstLineChars="200"/>
        <w:rPr>
          <w:rFonts w:ascii="宋体" w:hAnsi="宋体"/>
          <w:szCs w:val="21"/>
        </w:rPr>
      </w:pPr>
      <w:r>
        <w:rPr>
          <w:rFonts w:hint="eastAsia" w:ascii="宋体" w:hAnsi="宋体"/>
          <w:szCs w:val="21"/>
        </w:rPr>
        <w:t>本专业领域的硕士生在弹性学制规定的最长学习年限内（5年）完成培养方案规定的全部课程学习和其他教学环节，考试、考查成绩达到学校毕业要求，完成学位论文并通过答辩，可申请毕业并获取相应毕业证书。</w:t>
      </w:r>
    </w:p>
    <w:p>
      <w:pPr>
        <w:spacing w:line="540" w:lineRule="exact"/>
        <w:ind w:right="-19" w:rightChars="-6" w:firstLine="640" w:firstLineChars="200"/>
        <w:rPr>
          <w:rFonts w:ascii="黑体" w:hAnsi="黑体" w:eastAsia="黑体"/>
        </w:rPr>
      </w:pPr>
      <w:r>
        <w:rPr>
          <w:rFonts w:hint="eastAsia" w:ascii="黑体" w:hAnsi="黑体" w:eastAsia="黑体"/>
        </w:rPr>
        <w:t>十二、学位论文</w:t>
      </w:r>
    </w:p>
    <w:p>
      <w:pPr>
        <w:spacing w:line="540" w:lineRule="exact"/>
        <w:ind w:firstLine="640" w:firstLineChars="200"/>
        <w:rPr>
          <w:rFonts w:ascii="宋体" w:hAnsi="宋体"/>
          <w:szCs w:val="21"/>
        </w:rPr>
      </w:pPr>
      <w:r>
        <w:rPr>
          <w:rFonts w:hint="eastAsia" w:ascii="宋体" w:hAnsi="宋体"/>
          <w:szCs w:val="21"/>
        </w:rPr>
        <w:t>（一）学位论文开题报告论证在第三学期末进行。开题报告包含文献综述，且不少于3000字。</w:t>
      </w:r>
    </w:p>
    <w:p>
      <w:pPr>
        <w:spacing w:line="540" w:lineRule="exact"/>
        <w:ind w:firstLine="640" w:firstLineChars="200"/>
        <w:rPr>
          <w:rFonts w:ascii="宋体" w:hAnsi="宋体"/>
          <w:szCs w:val="21"/>
        </w:rPr>
      </w:pPr>
      <w:r>
        <w:rPr>
          <w:rFonts w:hint="eastAsia" w:ascii="宋体" w:hAnsi="宋体"/>
          <w:szCs w:val="21"/>
        </w:rPr>
        <w:t>（二）吸收国际中文教学一线具有高级专业技术职务的专家、教师参与论文指导。</w:t>
      </w:r>
    </w:p>
    <w:p>
      <w:pPr>
        <w:spacing w:line="540" w:lineRule="exact"/>
        <w:ind w:firstLine="640" w:firstLineChars="200"/>
        <w:rPr>
          <w:rFonts w:ascii="宋体" w:hAnsi="宋体"/>
          <w:szCs w:val="21"/>
        </w:rPr>
      </w:pPr>
      <w:r>
        <w:rPr>
          <w:rFonts w:hint="eastAsia" w:ascii="宋体" w:hAnsi="宋体"/>
          <w:szCs w:val="21"/>
        </w:rPr>
        <w:t>（三）学位论文选题应紧密结合国际中文教育实践进行选题，有应用价值。学位论文形式可以是针对国际中文教学的专题研究、调研报告、教学实验报告、典型案例分析、教学设计等，且不少于20000字。</w:t>
      </w:r>
    </w:p>
    <w:p>
      <w:pPr>
        <w:pStyle w:val="4"/>
        <w:shd w:val="clear" w:color="auto" w:fill="FFFFFF"/>
        <w:adjustRightInd w:val="0"/>
        <w:snapToGrid w:val="0"/>
        <w:spacing w:before="0" w:beforeAutospacing="0" w:after="0" w:afterAutospacing="0" w:line="540" w:lineRule="exact"/>
        <w:ind w:firstLine="640" w:firstLineChars="200"/>
        <w:textAlignment w:val="baseline"/>
        <w:rPr>
          <w:rFonts w:eastAsia="仿宋_GB2312" w:cstheme="minorBidi"/>
          <w:kern w:val="2"/>
          <w:sz w:val="32"/>
          <w:szCs w:val="21"/>
        </w:rPr>
      </w:pPr>
      <w:r>
        <w:rPr>
          <w:rFonts w:hint="eastAsia" w:eastAsia="仿宋_GB2312" w:cstheme="minorBidi"/>
          <w:kern w:val="2"/>
          <w:sz w:val="32"/>
          <w:szCs w:val="21"/>
        </w:rPr>
        <w:t>（四）对学位论文的评阅与审核必须正确把握专业学位研究生的学位论文的规格和标准。学位论文应真实、规范、完整、准确，符合《闽南师范大学硕士学位论文撰写格式规范》要求。</w:t>
      </w:r>
    </w:p>
    <w:p>
      <w:pPr>
        <w:spacing w:line="540" w:lineRule="exact"/>
        <w:ind w:firstLine="640" w:firstLineChars="200"/>
        <w:rPr>
          <w:rFonts w:ascii="宋体" w:hAnsi="宋体"/>
          <w:szCs w:val="21"/>
        </w:rPr>
      </w:pPr>
      <w:r>
        <w:rPr>
          <w:rFonts w:hint="eastAsia" w:ascii="宋体" w:hAnsi="宋体"/>
          <w:szCs w:val="21"/>
        </w:rPr>
        <w:t>（五）学位论文必须概念清楚、立论正确、分析严谨、说理透彻、层次分明、数据可靠、文从字顺。同时在某一方面提出新的见解，具有一定应用价值，至少应符合下列标准之一：(1)发现并选用新的资料，开拓新的研究领域，或对他人已研究的问题提出新的认识；(2)运用新的方法，进一步深化他人已有的认识，拓展该问题研究的深度和广度；(3)理论联系实际，以具体问题为导向，小题大作，应用各学科知识、理论与前沿成果，解决国际中文教学中的具体实践问题。</w:t>
      </w:r>
    </w:p>
    <w:p>
      <w:pPr>
        <w:spacing w:line="540" w:lineRule="exact"/>
        <w:ind w:right="-19" w:rightChars="-6" w:firstLine="640" w:firstLineChars="200"/>
        <w:rPr>
          <w:rFonts w:ascii="黑体" w:hAnsi="黑体" w:eastAsia="黑体"/>
        </w:rPr>
      </w:pPr>
      <w:r>
        <w:rPr>
          <w:rFonts w:hint="eastAsia" w:ascii="黑体" w:hAnsi="黑体" w:eastAsia="黑体"/>
        </w:rPr>
        <w:t>十三、其他要求</w:t>
      </w:r>
    </w:p>
    <w:p>
      <w:pPr>
        <w:pStyle w:val="4"/>
        <w:shd w:val="clear" w:color="auto" w:fill="FFFFFF"/>
        <w:wordWrap w:val="0"/>
        <w:adjustRightInd w:val="0"/>
        <w:snapToGrid w:val="0"/>
        <w:spacing w:before="0" w:beforeAutospacing="0" w:after="0" w:afterAutospacing="0" w:line="540" w:lineRule="exact"/>
        <w:ind w:firstLine="640" w:firstLineChars="200"/>
        <w:jc w:val="both"/>
        <w:rPr>
          <w:rFonts w:eastAsia="仿宋_GB2312" w:cstheme="minorBidi"/>
          <w:kern w:val="2"/>
          <w:sz w:val="32"/>
          <w:szCs w:val="21"/>
        </w:rPr>
      </w:pPr>
      <w:r>
        <w:rPr>
          <w:rFonts w:hint="eastAsia" w:eastAsia="仿宋_GB2312" w:cstheme="minorBidi"/>
          <w:kern w:val="2"/>
          <w:sz w:val="32"/>
          <w:szCs w:val="21"/>
        </w:rPr>
        <w:t>1.开题报告：第三学期末确定学位论文题目并通过论文开题报告论证，写出论文工作计划。导师组可根据研究生的实际情况，确定论文开题的具体时间。</w:t>
      </w:r>
    </w:p>
    <w:p>
      <w:pPr>
        <w:pStyle w:val="4"/>
        <w:shd w:val="clear" w:color="auto" w:fill="FFFFFF"/>
        <w:wordWrap w:val="0"/>
        <w:adjustRightInd w:val="0"/>
        <w:snapToGrid w:val="0"/>
        <w:spacing w:before="0" w:beforeAutospacing="0" w:after="0" w:afterAutospacing="0" w:line="540" w:lineRule="exact"/>
        <w:ind w:firstLine="640" w:firstLineChars="200"/>
        <w:jc w:val="both"/>
        <w:rPr>
          <w:rFonts w:eastAsia="仿宋_GB2312" w:cstheme="minorBidi"/>
          <w:kern w:val="2"/>
          <w:sz w:val="32"/>
          <w:szCs w:val="21"/>
        </w:rPr>
      </w:pPr>
      <w:r>
        <w:rPr>
          <w:rFonts w:hint="eastAsia" w:eastAsia="仿宋_GB2312" w:cstheme="minorBidi"/>
          <w:kern w:val="2"/>
          <w:sz w:val="32"/>
          <w:szCs w:val="21"/>
        </w:rPr>
        <w:t>2.论文工作检查：本专业领域硕士生用于学位论文的工作时间一般不少于一年，在撰写过程中导师要根据硕士生论文开题情况，检查论文写作计划的进展和完成情况，并针对论文写作中出现的问题加强指导，以保证学位论文工作的顺利进行。</w:t>
      </w:r>
    </w:p>
    <w:p>
      <w:pPr>
        <w:pStyle w:val="4"/>
        <w:shd w:val="clear" w:color="auto" w:fill="FFFFFF"/>
        <w:wordWrap w:val="0"/>
        <w:adjustRightInd w:val="0"/>
        <w:snapToGrid w:val="0"/>
        <w:spacing w:before="0" w:beforeAutospacing="0" w:after="0" w:afterAutospacing="0" w:line="540" w:lineRule="exact"/>
        <w:ind w:firstLine="640" w:firstLineChars="200"/>
        <w:jc w:val="both"/>
        <w:rPr>
          <w:rFonts w:hint="eastAsia" w:eastAsia="仿宋_GB2312" w:cstheme="minorBidi"/>
          <w:kern w:val="2"/>
          <w:sz w:val="32"/>
          <w:szCs w:val="21"/>
        </w:rPr>
      </w:pPr>
      <w:r>
        <w:rPr>
          <w:rFonts w:hint="eastAsia" w:eastAsia="仿宋_GB2312" w:cstheme="minorBidi"/>
          <w:kern w:val="2"/>
          <w:sz w:val="32"/>
          <w:szCs w:val="21"/>
        </w:rPr>
        <w:t>3.职业规划与指导：充分考虑全日制教育专业学位的培养特点，引导研究生在执行培养计划过程中，积极参加各种社会实践活动，了解就业市场状况、积累就业经验、掌握应聘技巧，进一步提高就业竞争力。</w:t>
      </w:r>
    </w:p>
    <w:p>
      <w:pPr>
        <w:pStyle w:val="4"/>
        <w:shd w:val="clear" w:color="auto" w:fill="FFFFFF"/>
        <w:wordWrap w:val="0"/>
        <w:adjustRightInd w:val="0"/>
        <w:snapToGrid w:val="0"/>
        <w:spacing w:before="0" w:beforeAutospacing="0" w:after="0" w:afterAutospacing="0" w:line="540" w:lineRule="exact"/>
        <w:ind w:firstLine="640" w:firstLineChars="200"/>
        <w:jc w:val="both"/>
        <w:rPr>
          <w:rFonts w:hint="eastAsia" w:eastAsia="仿宋_GB2312" w:cstheme="minorBidi"/>
          <w:kern w:val="2"/>
          <w:sz w:val="32"/>
          <w:szCs w:val="21"/>
        </w:rPr>
      </w:pPr>
      <w:r>
        <w:rPr>
          <w:rFonts w:hint="eastAsia" w:eastAsia="仿宋_GB2312" w:cstheme="minorBidi"/>
          <w:kern w:val="2"/>
          <w:sz w:val="32"/>
          <w:szCs w:val="21"/>
        </w:rPr>
        <w:t>4.汉语国际教育专业研究生因国家汉办汉语志愿者外派实习实践导致课程学分未修满，可在研三上学期修习下一年级研究生的课程获得学分。</w:t>
      </w:r>
    </w:p>
    <w:p>
      <w:pPr>
        <w:widowControl/>
        <w:adjustRightInd w:val="0"/>
        <w:snapToGrid w:val="0"/>
        <w:spacing w:line="360" w:lineRule="auto"/>
        <w:ind w:firstLine="640" w:firstLineChars="200"/>
        <w:rPr>
          <w:rFonts w:ascii="宋体" w:hAnsi="宋体"/>
          <w:szCs w:val="21"/>
        </w:rPr>
      </w:pPr>
    </w:p>
    <w:p>
      <w:pPr>
        <w:spacing w:line="500" w:lineRule="exact"/>
        <w:ind w:right="-19" w:rightChars="-6"/>
        <w:jc w:val="left"/>
        <w:rPr>
          <w:rFonts w:ascii="宋体" w:hAnsi="宋体"/>
          <w:szCs w:val="21"/>
        </w:rPr>
      </w:pPr>
    </w:p>
    <w:p>
      <w:pPr>
        <w:spacing w:line="500" w:lineRule="exact"/>
        <w:ind w:right="-19" w:rightChars="-6"/>
        <w:jc w:val="left"/>
        <w:rPr>
          <w:rFonts w:ascii="宋体" w:hAnsi="宋体"/>
          <w:szCs w:val="21"/>
        </w:rPr>
      </w:pPr>
    </w:p>
    <w:p>
      <w:pPr>
        <w:spacing w:line="500" w:lineRule="exact"/>
        <w:ind w:right="-19" w:rightChars="-6"/>
        <w:jc w:val="left"/>
        <w:rPr>
          <w:rFonts w:ascii="宋体" w:hAnsi="宋体"/>
          <w:szCs w:val="21"/>
        </w:rPr>
      </w:pPr>
    </w:p>
    <w:p>
      <w:pPr>
        <w:spacing w:line="500" w:lineRule="exact"/>
        <w:ind w:right="-19" w:rightChars="-6"/>
        <w:jc w:val="left"/>
        <w:rPr>
          <w:rFonts w:ascii="宋体" w:hAnsi="宋体"/>
          <w:szCs w:val="21"/>
        </w:rPr>
      </w:pPr>
    </w:p>
    <w:p>
      <w:pPr>
        <w:spacing w:line="500" w:lineRule="exact"/>
        <w:ind w:right="-19" w:rightChars="-6"/>
        <w:jc w:val="left"/>
        <w:rPr>
          <w:rFonts w:ascii="宋体" w:hAnsi="宋体"/>
          <w:szCs w:val="21"/>
        </w:rPr>
      </w:pPr>
    </w:p>
    <w:p>
      <w:pPr>
        <w:spacing w:line="500" w:lineRule="exact"/>
        <w:ind w:right="-19" w:rightChars="-6"/>
        <w:jc w:val="left"/>
        <w:rPr>
          <w:rFonts w:ascii="宋体" w:hAnsi="宋体"/>
          <w:szCs w:val="21"/>
        </w:rPr>
      </w:pPr>
    </w:p>
    <w:p>
      <w:pPr>
        <w:spacing w:line="500" w:lineRule="exact"/>
        <w:ind w:right="-19" w:rightChars="-6"/>
        <w:jc w:val="left"/>
        <w:rPr>
          <w:rFonts w:ascii="宋体" w:hAnsi="宋体"/>
          <w:szCs w:val="21"/>
        </w:rPr>
      </w:pPr>
    </w:p>
    <w:p>
      <w:pPr>
        <w:spacing w:line="500" w:lineRule="exact"/>
        <w:ind w:right="-19" w:rightChars="-6"/>
        <w:jc w:val="left"/>
        <w:rPr>
          <w:rFonts w:ascii="黑体" w:hAnsi="黑体" w:eastAsia="黑体"/>
          <w:color w:val="000000"/>
        </w:rPr>
      </w:pPr>
    </w:p>
    <w:sectPr>
      <w:headerReference r:id="rId3" w:type="default"/>
      <w:footerReference r:id="rId4" w:type="default"/>
      <w:pgSz w:w="12240" w:h="15840"/>
      <w:pgMar w:top="1701" w:right="1644" w:bottom="1417" w:left="1644"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7"/>
                              <w:rFonts w:ascii="宋体" w:hAnsi="宋体" w:eastAsia="宋体"/>
                              <w:sz w:val="28"/>
                            </w:rPr>
                          </w:pPr>
                          <w:r>
                            <w:rPr>
                              <w:rStyle w:val="7"/>
                              <w:rFonts w:hint="eastAsia" w:ascii="宋体" w:hAnsi="宋体" w:eastAsia="宋体"/>
                              <w:sz w:val="28"/>
                            </w:rPr>
                            <w:t xml:space="preserve">— </w:t>
                          </w:r>
                          <w:r>
                            <w:rPr>
                              <w:rStyle w:val="7"/>
                              <w:rFonts w:hint="eastAsia" w:ascii="宋体" w:hAnsi="宋体" w:eastAsia="宋体" w:cs="宋体"/>
                            </w:rPr>
                            <w:fldChar w:fldCharType="begin"/>
                          </w:r>
                          <w:r>
                            <w:rPr>
                              <w:rStyle w:val="7"/>
                              <w:rFonts w:hint="eastAsia" w:ascii="宋体" w:hAnsi="宋体" w:eastAsia="宋体" w:cs="宋体"/>
                            </w:rPr>
                            <w:instrText xml:space="preserve">PAGE  </w:instrText>
                          </w:r>
                          <w:r>
                            <w:rPr>
                              <w:rStyle w:val="7"/>
                              <w:rFonts w:hint="eastAsia" w:ascii="宋体" w:hAnsi="宋体" w:eastAsia="宋体" w:cs="宋体"/>
                            </w:rPr>
                            <w:fldChar w:fldCharType="separate"/>
                          </w:r>
                          <w:r>
                            <w:rPr>
                              <w:rStyle w:val="7"/>
                              <w:rFonts w:hint="eastAsia" w:ascii="宋体" w:hAnsi="宋体" w:eastAsia="宋体" w:cs="宋体"/>
                            </w:rPr>
                            <w:t>1</w:t>
                          </w:r>
                          <w:r>
                            <w:rPr>
                              <w:rStyle w:val="7"/>
                              <w:rFonts w:hint="eastAsia" w:ascii="宋体" w:hAnsi="宋体" w:eastAsia="宋体" w:cs="宋体"/>
                            </w:rPr>
                            <w:fldChar w:fldCharType="end"/>
                          </w:r>
                          <w:r>
                            <w:rPr>
                              <w:rStyle w:val="7"/>
                              <w:rFonts w:hint="eastAsia"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center;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jc w:val="center"/>
                      <w:rPr>
                        <w:rStyle w:val="7"/>
                        <w:rFonts w:ascii="宋体" w:hAnsi="宋体" w:eastAsia="宋体"/>
                        <w:sz w:val="28"/>
                      </w:rPr>
                    </w:pPr>
                    <w:r>
                      <w:rPr>
                        <w:rStyle w:val="7"/>
                        <w:rFonts w:hint="eastAsia" w:ascii="宋体" w:hAnsi="宋体" w:eastAsia="宋体"/>
                        <w:sz w:val="28"/>
                      </w:rPr>
                      <w:t xml:space="preserve">— </w:t>
                    </w:r>
                    <w:r>
                      <w:rPr>
                        <w:rStyle w:val="7"/>
                        <w:rFonts w:hint="eastAsia" w:ascii="宋体" w:hAnsi="宋体" w:eastAsia="宋体" w:cs="宋体"/>
                      </w:rPr>
                      <w:fldChar w:fldCharType="begin"/>
                    </w:r>
                    <w:r>
                      <w:rPr>
                        <w:rStyle w:val="7"/>
                        <w:rFonts w:hint="eastAsia" w:ascii="宋体" w:hAnsi="宋体" w:eastAsia="宋体" w:cs="宋体"/>
                      </w:rPr>
                      <w:instrText xml:space="preserve">PAGE  </w:instrText>
                    </w:r>
                    <w:r>
                      <w:rPr>
                        <w:rStyle w:val="7"/>
                        <w:rFonts w:hint="eastAsia" w:ascii="宋体" w:hAnsi="宋体" w:eastAsia="宋体" w:cs="宋体"/>
                      </w:rPr>
                      <w:fldChar w:fldCharType="separate"/>
                    </w:r>
                    <w:r>
                      <w:rPr>
                        <w:rStyle w:val="7"/>
                        <w:rFonts w:hint="eastAsia" w:ascii="宋体" w:hAnsi="宋体" w:eastAsia="宋体" w:cs="宋体"/>
                      </w:rPr>
                      <w:t>1</w:t>
                    </w:r>
                    <w:r>
                      <w:rPr>
                        <w:rStyle w:val="7"/>
                        <w:rFonts w:hint="eastAsia" w:ascii="宋体" w:hAnsi="宋体" w:eastAsia="宋体" w:cs="宋体"/>
                      </w:rPr>
                      <w:fldChar w:fldCharType="end"/>
                    </w:r>
                    <w:r>
                      <w:rPr>
                        <w:rStyle w:val="7"/>
                        <w:rFonts w:hint="eastAsia" w:ascii="宋体" w:hAnsi="宋体" w:eastAsia="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43F1C8"/>
    <w:multiLevelType w:val="singleLevel"/>
    <w:tmpl w:val="7543F1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ZDkxYzUwMWIwNDQzOWUxNTU1MTVjYTQ2MjA4MzAifQ=="/>
  </w:docVars>
  <w:rsids>
    <w:rsidRoot w:val="00172A27"/>
    <w:rsid w:val="000013D4"/>
    <w:rsid w:val="00034CA9"/>
    <w:rsid w:val="00055B87"/>
    <w:rsid w:val="000713C1"/>
    <w:rsid w:val="000B6C04"/>
    <w:rsid w:val="000D00BE"/>
    <w:rsid w:val="000D025A"/>
    <w:rsid w:val="000D51BF"/>
    <w:rsid w:val="000E7048"/>
    <w:rsid w:val="00107D57"/>
    <w:rsid w:val="0011253B"/>
    <w:rsid w:val="00115DCC"/>
    <w:rsid w:val="001162C8"/>
    <w:rsid w:val="00122269"/>
    <w:rsid w:val="0013432E"/>
    <w:rsid w:val="001378C8"/>
    <w:rsid w:val="001437BB"/>
    <w:rsid w:val="00144E93"/>
    <w:rsid w:val="00157BA2"/>
    <w:rsid w:val="00160D57"/>
    <w:rsid w:val="00162BBC"/>
    <w:rsid w:val="00172A27"/>
    <w:rsid w:val="001955C7"/>
    <w:rsid w:val="001A50F8"/>
    <w:rsid w:val="001E7F4E"/>
    <w:rsid w:val="002005F1"/>
    <w:rsid w:val="002118BE"/>
    <w:rsid w:val="00217258"/>
    <w:rsid w:val="002405A7"/>
    <w:rsid w:val="0025358D"/>
    <w:rsid w:val="002570ED"/>
    <w:rsid w:val="0026224A"/>
    <w:rsid w:val="002623E0"/>
    <w:rsid w:val="002648F3"/>
    <w:rsid w:val="002672A1"/>
    <w:rsid w:val="00293B45"/>
    <w:rsid w:val="00294D34"/>
    <w:rsid w:val="00297559"/>
    <w:rsid w:val="002B0E6D"/>
    <w:rsid w:val="002D08C6"/>
    <w:rsid w:val="002D7315"/>
    <w:rsid w:val="002E7850"/>
    <w:rsid w:val="003253C9"/>
    <w:rsid w:val="003256E7"/>
    <w:rsid w:val="003367EB"/>
    <w:rsid w:val="00374F0A"/>
    <w:rsid w:val="0038064B"/>
    <w:rsid w:val="00382908"/>
    <w:rsid w:val="0039585B"/>
    <w:rsid w:val="003C18C7"/>
    <w:rsid w:val="003C2708"/>
    <w:rsid w:val="003D7D56"/>
    <w:rsid w:val="003F0450"/>
    <w:rsid w:val="003F74CC"/>
    <w:rsid w:val="00401AFF"/>
    <w:rsid w:val="00403415"/>
    <w:rsid w:val="00413D2B"/>
    <w:rsid w:val="004426A1"/>
    <w:rsid w:val="004516F9"/>
    <w:rsid w:val="004638B8"/>
    <w:rsid w:val="00482870"/>
    <w:rsid w:val="00491AF7"/>
    <w:rsid w:val="0049230E"/>
    <w:rsid w:val="004A3760"/>
    <w:rsid w:val="004A4C66"/>
    <w:rsid w:val="004C6607"/>
    <w:rsid w:val="004D108E"/>
    <w:rsid w:val="004E649D"/>
    <w:rsid w:val="004F34FD"/>
    <w:rsid w:val="005035A7"/>
    <w:rsid w:val="005359EB"/>
    <w:rsid w:val="00562EBD"/>
    <w:rsid w:val="00562F60"/>
    <w:rsid w:val="00563275"/>
    <w:rsid w:val="00571848"/>
    <w:rsid w:val="00573381"/>
    <w:rsid w:val="00585715"/>
    <w:rsid w:val="005A3CBB"/>
    <w:rsid w:val="005D5034"/>
    <w:rsid w:val="005D52E5"/>
    <w:rsid w:val="005E2744"/>
    <w:rsid w:val="00616963"/>
    <w:rsid w:val="006233EB"/>
    <w:rsid w:val="00626A44"/>
    <w:rsid w:val="00634C83"/>
    <w:rsid w:val="00637D1F"/>
    <w:rsid w:val="0064669C"/>
    <w:rsid w:val="006550E7"/>
    <w:rsid w:val="00671269"/>
    <w:rsid w:val="00696377"/>
    <w:rsid w:val="006A0387"/>
    <w:rsid w:val="006A0BCF"/>
    <w:rsid w:val="006B6FE0"/>
    <w:rsid w:val="006D24F3"/>
    <w:rsid w:val="006E2A9E"/>
    <w:rsid w:val="0070461B"/>
    <w:rsid w:val="00714E19"/>
    <w:rsid w:val="00717453"/>
    <w:rsid w:val="00754743"/>
    <w:rsid w:val="0076108B"/>
    <w:rsid w:val="00770C92"/>
    <w:rsid w:val="00794566"/>
    <w:rsid w:val="00796A9C"/>
    <w:rsid w:val="007A0AED"/>
    <w:rsid w:val="007A2607"/>
    <w:rsid w:val="007C6891"/>
    <w:rsid w:val="007E45C7"/>
    <w:rsid w:val="007F4FDF"/>
    <w:rsid w:val="00801FDF"/>
    <w:rsid w:val="00801FFA"/>
    <w:rsid w:val="008027BA"/>
    <w:rsid w:val="00814E1A"/>
    <w:rsid w:val="00822953"/>
    <w:rsid w:val="00823185"/>
    <w:rsid w:val="00862CE6"/>
    <w:rsid w:val="008A1681"/>
    <w:rsid w:val="008A7364"/>
    <w:rsid w:val="008E2124"/>
    <w:rsid w:val="008E7058"/>
    <w:rsid w:val="0090349C"/>
    <w:rsid w:val="00903FFC"/>
    <w:rsid w:val="0090614C"/>
    <w:rsid w:val="009266B4"/>
    <w:rsid w:val="0092749A"/>
    <w:rsid w:val="00952B76"/>
    <w:rsid w:val="00953C56"/>
    <w:rsid w:val="00976EBA"/>
    <w:rsid w:val="009839DF"/>
    <w:rsid w:val="00986131"/>
    <w:rsid w:val="009A1A70"/>
    <w:rsid w:val="009D66EF"/>
    <w:rsid w:val="009E509C"/>
    <w:rsid w:val="009F4AAE"/>
    <w:rsid w:val="00A15A1C"/>
    <w:rsid w:val="00A166B1"/>
    <w:rsid w:val="00A169E3"/>
    <w:rsid w:val="00A51ECF"/>
    <w:rsid w:val="00AC4805"/>
    <w:rsid w:val="00AD2725"/>
    <w:rsid w:val="00AE773D"/>
    <w:rsid w:val="00B15B66"/>
    <w:rsid w:val="00B20235"/>
    <w:rsid w:val="00B529C5"/>
    <w:rsid w:val="00B900E5"/>
    <w:rsid w:val="00BA515A"/>
    <w:rsid w:val="00BB25D5"/>
    <w:rsid w:val="00BC02ED"/>
    <w:rsid w:val="00BE0204"/>
    <w:rsid w:val="00BE0C9B"/>
    <w:rsid w:val="00C1390C"/>
    <w:rsid w:val="00C163E4"/>
    <w:rsid w:val="00C77ED2"/>
    <w:rsid w:val="00C81AB1"/>
    <w:rsid w:val="00C909EC"/>
    <w:rsid w:val="00C95B40"/>
    <w:rsid w:val="00CA067A"/>
    <w:rsid w:val="00CA1DB6"/>
    <w:rsid w:val="00CC6E66"/>
    <w:rsid w:val="00CD16D0"/>
    <w:rsid w:val="00CF4F55"/>
    <w:rsid w:val="00D013EB"/>
    <w:rsid w:val="00D52079"/>
    <w:rsid w:val="00D527D8"/>
    <w:rsid w:val="00D94230"/>
    <w:rsid w:val="00E05D9B"/>
    <w:rsid w:val="00E141FF"/>
    <w:rsid w:val="00E1468D"/>
    <w:rsid w:val="00E17DFF"/>
    <w:rsid w:val="00E33B5D"/>
    <w:rsid w:val="00E33F8A"/>
    <w:rsid w:val="00E422FB"/>
    <w:rsid w:val="00E519AE"/>
    <w:rsid w:val="00E612BB"/>
    <w:rsid w:val="00E67A00"/>
    <w:rsid w:val="00EA1E93"/>
    <w:rsid w:val="00EB19B2"/>
    <w:rsid w:val="00EC2A8F"/>
    <w:rsid w:val="00ED37B7"/>
    <w:rsid w:val="00EF4504"/>
    <w:rsid w:val="00EF5B22"/>
    <w:rsid w:val="00F010E0"/>
    <w:rsid w:val="00F01A14"/>
    <w:rsid w:val="00F1046F"/>
    <w:rsid w:val="00F136A9"/>
    <w:rsid w:val="00F2100D"/>
    <w:rsid w:val="00F6222F"/>
    <w:rsid w:val="00F671D2"/>
    <w:rsid w:val="00F704A6"/>
    <w:rsid w:val="00F92485"/>
    <w:rsid w:val="00FB44CE"/>
    <w:rsid w:val="00FD4F6A"/>
    <w:rsid w:val="00FF5835"/>
    <w:rsid w:val="00FF6032"/>
    <w:rsid w:val="00FF7DEB"/>
    <w:rsid w:val="02537F35"/>
    <w:rsid w:val="02C95DD1"/>
    <w:rsid w:val="02DA75F7"/>
    <w:rsid w:val="0360245F"/>
    <w:rsid w:val="044D041E"/>
    <w:rsid w:val="045E1C6B"/>
    <w:rsid w:val="05644E13"/>
    <w:rsid w:val="05B6643B"/>
    <w:rsid w:val="070A0D63"/>
    <w:rsid w:val="07942741"/>
    <w:rsid w:val="079D17C4"/>
    <w:rsid w:val="089651BE"/>
    <w:rsid w:val="08A21412"/>
    <w:rsid w:val="09C714C9"/>
    <w:rsid w:val="0AD626B2"/>
    <w:rsid w:val="0DF81B7E"/>
    <w:rsid w:val="0F5A3A22"/>
    <w:rsid w:val="0F671918"/>
    <w:rsid w:val="0F703791"/>
    <w:rsid w:val="0FE80CF3"/>
    <w:rsid w:val="106C7DDC"/>
    <w:rsid w:val="116307C8"/>
    <w:rsid w:val="11C100F9"/>
    <w:rsid w:val="12136647"/>
    <w:rsid w:val="124D6550"/>
    <w:rsid w:val="1265692E"/>
    <w:rsid w:val="13446F33"/>
    <w:rsid w:val="136673C7"/>
    <w:rsid w:val="13B272DC"/>
    <w:rsid w:val="14453DA8"/>
    <w:rsid w:val="14AE38AE"/>
    <w:rsid w:val="150F6239"/>
    <w:rsid w:val="15143869"/>
    <w:rsid w:val="15237A07"/>
    <w:rsid w:val="170437AF"/>
    <w:rsid w:val="177C45C1"/>
    <w:rsid w:val="179D349E"/>
    <w:rsid w:val="17C43285"/>
    <w:rsid w:val="18301194"/>
    <w:rsid w:val="183C34A1"/>
    <w:rsid w:val="18420F99"/>
    <w:rsid w:val="188947E9"/>
    <w:rsid w:val="188B32A9"/>
    <w:rsid w:val="19523A5B"/>
    <w:rsid w:val="199F452E"/>
    <w:rsid w:val="1B0B1C50"/>
    <w:rsid w:val="1C024783"/>
    <w:rsid w:val="1C0C1E40"/>
    <w:rsid w:val="1C140ED2"/>
    <w:rsid w:val="1C3B6207"/>
    <w:rsid w:val="1D301BB8"/>
    <w:rsid w:val="1D4476F9"/>
    <w:rsid w:val="1D4E6F36"/>
    <w:rsid w:val="1D7420B1"/>
    <w:rsid w:val="1DD2361B"/>
    <w:rsid w:val="1E8F4494"/>
    <w:rsid w:val="1EC93190"/>
    <w:rsid w:val="1FB33A9F"/>
    <w:rsid w:val="1FC22AB9"/>
    <w:rsid w:val="20605EEE"/>
    <w:rsid w:val="20956353"/>
    <w:rsid w:val="21823C70"/>
    <w:rsid w:val="22EB58E6"/>
    <w:rsid w:val="23CD06F0"/>
    <w:rsid w:val="247A27B5"/>
    <w:rsid w:val="25047F34"/>
    <w:rsid w:val="251C2FD8"/>
    <w:rsid w:val="269476D2"/>
    <w:rsid w:val="272127F8"/>
    <w:rsid w:val="276A1ED1"/>
    <w:rsid w:val="28220114"/>
    <w:rsid w:val="29271818"/>
    <w:rsid w:val="2B575770"/>
    <w:rsid w:val="2C7B4CB4"/>
    <w:rsid w:val="2CA40B2D"/>
    <w:rsid w:val="2D292055"/>
    <w:rsid w:val="2D7D2805"/>
    <w:rsid w:val="2E016167"/>
    <w:rsid w:val="2E3E4162"/>
    <w:rsid w:val="312E6AD1"/>
    <w:rsid w:val="329061B3"/>
    <w:rsid w:val="3382785B"/>
    <w:rsid w:val="338C0E69"/>
    <w:rsid w:val="3465548F"/>
    <w:rsid w:val="34CC0BCA"/>
    <w:rsid w:val="34FE340A"/>
    <w:rsid w:val="3552450F"/>
    <w:rsid w:val="35F51C7E"/>
    <w:rsid w:val="368B0047"/>
    <w:rsid w:val="371C1538"/>
    <w:rsid w:val="37294AAC"/>
    <w:rsid w:val="38FC4A97"/>
    <w:rsid w:val="3AC635D6"/>
    <w:rsid w:val="3AD44C17"/>
    <w:rsid w:val="3B0411BA"/>
    <w:rsid w:val="3B434797"/>
    <w:rsid w:val="3BAA53FE"/>
    <w:rsid w:val="3BF71C99"/>
    <w:rsid w:val="3BFB5054"/>
    <w:rsid w:val="3C50561E"/>
    <w:rsid w:val="3C507120"/>
    <w:rsid w:val="3DE96513"/>
    <w:rsid w:val="3DFD2CA4"/>
    <w:rsid w:val="3E8F6AF9"/>
    <w:rsid w:val="3EA033F3"/>
    <w:rsid w:val="3F25532C"/>
    <w:rsid w:val="40067C61"/>
    <w:rsid w:val="41165DAB"/>
    <w:rsid w:val="42396060"/>
    <w:rsid w:val="438450DE"/>
    <w:rsid w:val="43A9542A"/>
    <w:rsid w:val="441617BD"/>
    <w:rsid w:val="44CE7D99"/>
    <w:rsid w:val="45CC346E"/>
    <w:rsid w:val="45F732F1"/>
    <w:rsid w:val="46FE6A1E"/>
    <w:rsid w:val="47432899"/>
    <w:rsid w:val="48A0729D"/>
    <w:rsid w:val="4A3A506A"/>
    <w:rsid w:val="4ABA16E5"/>
    <w:rsid w:val="4B9F6CF6"/>
    <w:rsid w:val="4D8E77FA"/>
    <w:rsid w:val="4D905F21"/>
    <w:rsid w:val="4FB856D0"/>
    <w:rsid w:val="4FE13425"/>
    <w:rsid w:val="4FE44A62"/>
    <w:rsid w:val="50933B39"/>
    <w:rsid w:val="5117120B"/>
    <w:rsid w:val="52424BF2"/>
    <w:rsid w:val="528F3EDE"/>
    <w:rsid w:val="53B36731"/>
    <w:rsid w:val="558C42D8"/>
    <w:rsid w:val="565D3A49"/>
    <w:rsid w:val="56E8469E"/>
    <w:rsid w:val="5763043C"/>
    <w:rsid w:val="589B5A6F"/>
    <w:rsid w:val="58BF64F6"/>
    <w:rsid w:val="58FA3488"/>
    <w:rsid w:val="5B170D83"/>
    <w:rsid w:val="5B7F2E79"/>
    <w:rsid w:val="5BB76DE8"/>
    <w:rsid w:val="5BE80838"/>
    <w:rsid w:val="5C1A26B6"/>
    <w:rsid w:val="5C2066CD"/>
    <w:rsid w:val="5CA27D1B"/>
    <w:rsid w:val="5CBD1B02"/>
    <w:rsid w:val="5D4C7A46"/>
    <w:rsid w:val="5DF80FC2"/>
    <w:rsid w:val="5E5841F9"/>
    <w:rsid w:val="5F87128E"/>
    <w:rsid w:val="604C56C7"/>
    <w:rsid w:val="60E47F50"/>
    <w:rsid w:val="61862627"/>
    <w:rsid w:val="61E31FA6"/>
    <w:rsid w:val="626B6045"/>
    <w:rsid w:val="626B6ED3"/>
    <w:rsid w:val="631A5E83"/>
    <w:rsid w:val="64783D7D"/>
    <w:rsid w:val="64C900A4"/>
    <w:rsid w:val="664462EC"/>
    <w:rsid w:val="66D70B2E"/>
    <w:rsid w:val="6705695C"/>
    <w:rsid w:val="687B2E84"/>
    <w:rsid w:val="691776D9"/>
    <w:rsid w:val="693D13E8"/>
    <w:rsid w:val="69CA5947"/>
    <w:rsid w:val="6C712C83"/>
    <w:rsid w:val="6D114966"/>
    <w:rsid w:val="6DFF7CAB"/>
    <w:rsid w:val="6E616A09"/>
    <w:rsid w:val="6E664BDC"/>
    <w:rsid w:val="6EBC4842"/>
    <w:rsid w:val="6F1D4C1B"/>
    <w:rsid w:val="704E67F3"/>
    <w:rsid w:val="71301EF3"/>
    <w:rsid w:val="73314D52"/>
    <w:rsid w:val="733D1B14"/>
    <w:rsid w:val="73423C1A"/>
    <w:rsid w:val="735C488F"/>
    <w:rsid w:val="739D4CA9"/>
    <w:rsid w:val="73DD2F1E"/>
    <w:rsid w:val="747E3F4C"/>
    <w:rsid w:val="74C52529"/>
    <w:rsid w:val="74D93B10"/>
    <w:rsid w:val="751B4841"/>
    <w:rsid w:val="76235BD0"/>
    <w:rsid w:val="76822E91"/>
    <w:rsid w:val="76AA09FB"/>
    <w:rsid w:val="773E5342"/>
    <w:rsid w:val="775867B8"/>
    <w:rsid w:val="77E91B5D"/>
    <w:rsid w:val="77F67E36"/>
    <w:rsid w:val="78D74C24"/>
    <w:rsid w:val="790F1DAD"/>
    <w:rsid w:val="7A1A2A6A"/>
    <w:rsid w:val="7ABE6D38"/>
    <w:rsid w:val="7AEC6624"/>
    <w:rsid w:val="7C914327"/>
    <w:rsid w:val="7CAA1CA3"/>
    <w:rsid w:val="7CC04760"/>
    <w:rsid w:val="7F037E7C"/>
    <w:rsid w:val="7FB1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page number"/>
    <w:basedOn w:val="6"/>
    <w:unhideWhenUsed/>
    <w:qFormat/>
    <w:uiPriority w:val="0"/>
    <w:rPr>
      <w:rFonts w:hint="default"/>
      <w:sz w:val="24"/>
      <w:szCs w:val="24"/>
    </w:rPr>
  </w:style>
  <w:style w:type="character" w:customStyle="1" w:styleId="8">
    <w:name w:val="15"/>
    <w:basedOn w:val="6"/>
    <w:qFormat/>
    <w:uiPriority w:val="0"/>
    <w:rPr>
      <w:rFonts w:hint="default" w:ascii="Calibri" w:hAnsi="Calibri"/>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3465</Words>
  <Characters>3533</Characters>
  <Lines>26</Lines>
  <Paragraphs>7</Paragraphs>
  <TotalTime>37</TotalTime>
  <ScaleCrop>false</ScaleCrop>
  <LinksUpToDate>false</LinksUpToDate>
  <CharactersWithSpaces>3713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2021-08-11T15:25:00Z</dcterms:created>
  <dc:creator>DELL</dc:creator>
  <cp:lastModifiedBy>诺</cp:lastModifiedBy>
  <cp:lastPrinted>2024-06-28T02:57:00Z</cp:lastPrinted>
  <dcterms:modified xsi:type="dcterms:W3CDTF">2024-07-05T01:13:47Z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98AF8BA79FF14B138C11D8302F345FBC</vt:lpwstr>
  </property>
</Properties>
</file>